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shd w:val="clear" w:color="auto" w:fill="B8CCE4" w:themeFill="accent1" w:themeFillTint="66"/>
        <w:tblLayout w:type="fixed"/>
        <w:tblLook w:val="04A0" w:firstRow="1" w:lastRow="0" w:firstColumn="1" w:lastColumn="0" w:noHBand="0" w:noVBand="1"/>
      </w:tblPr>
      <w:tblGrid>
        <w:gridCol w:w="10224"/>
      </w:tblGrid>
      <w:tr w:rsidR="005C5CB8" w14:paraId="6CF6DF95" w14:textId="77777777" w:rsidTr="00933FE0">
        <w:trPr>
          <w:jc w:val="center"/>
        </w:trPr>
        <w:tc>
          <w:tcPr>
            <w:tcW w:w="10224" w:type="dxa"/>
            <w:tcBorders>
              <w:top w:val="single" w:sz="10" w:space="0" w:color="0B2C67"/>
              <w:left w:val="single" w:sz="10" w:space="0" w:color="0B2C67"/>
              <w:bottom w:val="single" w:sz="10" w:space="0" w:color="0B2C67"/>
              <w:right w:val="single" w:sz="10" w:space="0" w:color="0B2C67"/>
            </w:tcBorders>
            <w:vAlign w:val="center"/>
            <w:tcMar>
              <w:top w:w="90" w:type="dxa"/>
              <w:start w:w="110" w:type="dxa"/>
              <w:bottom w:w="90" w:type="dxa"/>
              <w:end w:w="110" w:type="dxa"/>
            </w:tcMar>
          </w:tcPr>
          <w:p w14:paraId="77A3368C" w14:textId="77777777" w:rsidR="005C5CB8" w:rsidRDefault="001B339E">
            <w:pPr>
              <w:jc w:val="center"/>
            </w:pPr>
            <w:r>
              <w:rPr>
                <w:noProof/>
              </w:rPr>
              <w:drawing>
                <wp:inline distT="0" distB="0" distL="0" distR="0" wp14:anchorId="694260B3" wp14:editId="13A2A135">
                  <wp:extent cx="3533775" cy="1177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3534342" cy="1178114"/>
                          </a:xfrm>
                          <a:prstGeom prst="rect">
                            <a:avLst/>
                          </a:prstGeom>
                        </pic:spPr>
                      </pic:pic>
                    </a:graphicData>
                  </a:graphic>
                </wp:inline>
              </w:drawing>
            </w:r>
          </w:p>
          <w:p w14:paraId="4B709C95" w14:textId="77777777" w:rsidR="005C5CB8" w:rsidRDefault="001B339E">
            <w:pPr>
              <w:pStyle w:val="HeroTag"/>
              <w:jc w:val="center"/>
            </w:pPr>
            <w:r>
              <w:t>IT ENVIRONMENT ASSESSMENT</w:t>
            </w:r>
          </w:p>
          <w:p w14:paraId="3A33E68E" w14:textId="77777777" w:rsidR="005C5CB8" w:rsidRPr="00933FE0" w:rsidRDefault="001B339E">
            <w:pPr>
              <w:pStyle w:val="CardText"/>
              <w:jc w:val="center"/>
              <w:rPr>
                <w:color w:val="17365D" w:themeColor="text2" w:themeShade="BF"/>
              </w:rPr>
            </w:pPr>
            <w:r w:rsidRPr="00933FE0">
              <w:rPr>
                <w:color w:val="17365D" w:themeColor="text2" w:themeShade="BF"/>
                <w:sz w:val="22"/>
              </w:rPr>
              <w:t>Discovery &amp; Evidence Guide</w:t>
            </w:r>
          </w:p>
          <w:p w14:paraId="7420BB09" w14:textId="77777777" w:rsidR="005C5CB8" w:rsidRPr="00933FE0" w:rsidRDefault="001B339E">
            <w:pPr>
              <w:pStyle w:val="SmallMuted"/>
              <w:jc w:val="center"/>
              <w:rPr>
                <w:color w:val="17365D" w:themeColor="text2" w:themeShade="BF"/>
              </w:rPr>
            </w:pPr>
            <w:r w:rsidRPr="00933FE0">
              <w:rPr>
                <w:color w:val="17365D" w:themeColor="text2" w:themeShade="BF"/>
              </w:rPr>
              <w:t>A practical field guide for understanding an unfamiliar IT environment through interviews, evidence, and validation.</w:t>
            </w:r>
          </w:p>
          <w:p w14:paraId="26B4463A" w14:textId="77777777" w:rsidR="005C5CB8" w:rsidRDefault="001B339E">
            <w:r w:rsidRPr="00933FE0">
              <w:rPr>
                <w:color w:val="17365D" w:themeColor="text2" w:themeShade="BF"/>
              </w:rPr>
            </w:r>
          </w:p>
        </w:tc>
      </w:tr>
    </w:tbl>
    <w:p w14:paraId="55EC4007" w14:textId="77777777" w:rsidR="005C5CB8" w:rsidRDefault="005C5CB8"/>
    <w:tbl>
      <w:tblPr>
        <w:tblW w:w="0" w:type="auto"/>
        <w:jc w:val="center"/>
        <w:tblLayout w:type="fixed"/>
        <w:tblLook w:val="04A0" w:firstRow="1" w:lastRow="0" w:firstColumn="1" w:lastColumn="0" w:noHBand="0" w:noVBand="1"/>
      </w:tblPr>
      <w:tblGrid>
        <w:gridCol w:w="4824"/>
        <w:gridCol w:w="4824"/>
      </w:tblGrid>
      <w:tr w:rsidR="005C5CB8" w14:paraId="75D5F2CA" w14:textId="77777777">
        <w:trPr>
          <w:jc w:val="center"/>
        </w:trPr>
        <w:tc>
          <w:tcPr>
            <w:tcW w:w="4824"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636131C5" w14:textId="77777777" w:rsidR="005C5CB8" w:rsidRDefault="001B339E">
            <w:pPr>
              <w:pStyle w:val="MetaLabel"/>
            </w:pPr>
            <w:r>
              <w:t>DOCUMENT TITLE</w:t>
            </w:r>
          </w:p>
          <w:p w14:paraId="22BF3B9E" w14:textId="77777777" w:rsidR="005C5CB8" w:rsidRDefault="001B339E">
            <w:pPr>
              <w:pStyle w:val="MetaValue"/>
            </w:pPr>
            <w:r>
              <w:t>IT Environment Assessment — Discovery &amp; Evidence Guide</w:t>
            </w:r>
          </w:p>
        </w:tc>
        <w:tc>
          <w:tcPr>
            <w:tcW w:w="4824"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1D5EE934" w14:textId="77777777" w:rsidR="005C5CB8" w:rsidRDefault="001B339E">
            <w:pPr>
              <w:pStyle w:val="MetaLabel"/>
            </w:pPr>
            <w:r>
              <w:t>OWNER / AUTHOR</w:t>
            </w:r>
          </w:p>
          <w:p w14:paraId="5D252A55" w14:textId="77777777" w:rsidR="005C5CB8" w:rsidRDefault="001B339E">
            <w:pPr>
              <w:pStyle w:val="MetaValue"/>
            </w:pPr>
            <w:r>
              <w:t>Goodwin Gets IT</w:t>
            </w:r>
          </w:p>
        </w:tc>
      </w:tr>
      <w:tr w:rsidR="005C5CB8" w14:paraId="762E0B02" w14:textId="77777777">
        <w:trPr>
          <w:jc w:val="center"/>
        </w:trPr>
        <w:tc>
          <w:tcPr>
            <w:tcW w:w="4824"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2BD02F83" w14:textId="77777777" w:rsidR="005C5CB8" w:rsidRDefault="001B339E">
            <w:pPr>
              <w:pStyle w:val="MetaLabel"/>
            </w:pPr>
            <w:r>
              <w:t>VERSION</w:t>
            </w:r>
          </w:p>
          <w:p w14:paraId="6CBB7F71" w14:textId="77777777" w:rsidR="005C5CB8" w:rsidRDefault="001B339E">
            <w:pPr>
              <w:pStyle w:val="MetaValue"/>
            </w:pPr>
            <w:r>
              <w:t>v1.0</w:t>
            </w:r>
          </w:p>
        </w:tc>
        <w:tc>
          <w:tcPr>
            <w:tcW w:w="4824"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7014FD7F" w14:textId="77777777" w:rsidR="005C5CB8" w:rsidRDefault="001B339E">
            <w:pPr>
              <w:pStyle w:val="MetaLabel"/>
            </w:pPr>
            <w:r>
              <w:t>LAST UPDATED</w:t>
            </w:r>
          </w:p>
          <w:p w14:paraId="704DDD41" w14:textId="77777777" w:rsidR="005C5CB8" w:rsidRDefault="001B339E">
            <w:pPr>
              <w:pStyle w:val="MetaValue"/>
            </w:pPr>
            <w:r>
              <w:t>August 18, 2026</w:t>
            </w:r>
          </w:p>
        </w:tc>
      </w:tr>
    </w:tbl>
    <w:p w14:paraId="5F694A6E" w14:textId="77777777" w:rsidR="005C5CB8" w:rsidRDefault="005C5CB8"/>
    <w:p w14:paraId="65593DCB" w14:textId="77777777" w:rsidR="005C5CB8" w:rsidRDefault="001B339E">
      <w:pPr>
        <w:pStyle w:val="Heading1"/>
      </w:pPr>
      <w:r>
        <w:t>Executive Summary</w:t>
      </w:r>
    </w:p>
    <w:p w14:paraId="2BA47ACD" w14:textId="77777777" w:rsidR="005C5CB8" w:rsidRDefault="001B339E">
      <w:pPr>
        <w:pStyle w:val="CardText"/>
      </w:pPr>
      <w:r>
        <w:t>This guide supports a structured first-pass IT assessment. It is designed to help an assessor understand how the environment actually operates, identify where evidence is needed, surface meaningful risk, and avoid jumping directly to products or replacement recommendations.</w:t>
      </w:r>
    </w:p>
    <w:tbl>
      <w:tblPr>
        <w:tblW w:w="0" w:type="auto"/>
        <w:jc w:val="center"/>
        <w:tblLayout w:type="fixed"/>
        <w:tblLook w:val="04A0" w:firstRow="1" w:lastRow="0" w:firstColumn="1" w:lastColumn="0" w:noHBand="0" w:noVBand="1"/>
      </w:tblPr>
      <w:tblGrid>
        <w:gridCol w:w="4824"/>
        <w:gridCol w:w="4824"/>
      </w:tblGrid>
      <w:tr w:rsidR="005C5CB8" w14:paraId="5EDD17C5" w14:textId="77777777">
        <w:trPr>
          <w:jc w:val="center"/>
        </w:trPr>
        <w:tc>
          <w:tcPr>
            <w:tcW w:w="4824" w:type="dxa"/>
            <w:tcBorders>
              <w:top w:val="single" w:sz="8" w:space="0" w:color="E6EAF2"/>
              <w:left w:val="single" w:sz="8" w:space="0" w:color="E6EAF2"/>
              <w:bottom w:val="single" w:sz="8" w:space="0" w:color="E6EAF2"/>
              <w:right w:val="single" w:sz="8" w:space="0" w:color="E6EAF2"/>
            </w:tcBorders>
            <w:shd w:val="clear" w:color="auto" w:fill="FFFFFF"/>
            <w:tcMar>
              <w:top w:w="90" w:type="dxa"/>
              <w:start w:w="110" w:type="dxa"/>
              <w:bottom w:w="90" w:type="dxa"/>
              <w:end w:w="110" w:type="dxa"/>
            </w:tcMar>
          </w:tcPr>
          <w:p w14:paraId="6007CD15" w14:textId="77777777" w:rsidR="005C5CB8" w:rsidRDefault="001B339E">
            <w:pPr>
              <w:pStyle w:val="MetaLabel"/>
            </w:pPr>
            <w:r>
              <w:t>OBJECTIVE</w:t>
            </w:r>
          </w:p>
          <w:p w14:paraId="26538AD4" w14:textId="77777777" w:rsidR="005C5CB8" w:rsidRDefault="001B339E">
            <w:pPr>
              <w:pStyle w:val="CardText"/>
            </w:pPr>
            <w:r>
              <w:t>Build an evidence-based view of the environment, identify operational and security risk, and create a clear path from discovery to prioritized action.</w:t>
            </w:r>
          </w:p>
        </w:tc>
        <w:tc>
          <w:tcPr>
            <w:tcW w:w="4824" w:type="dxa"/>
            <w:tcBorders>
              <w:top w:val="single" w:sz="8" w:space="0" w:color="E6EAF2"/>
              <w:left w:val="single" w:sz="8" w:space="0" w:color="E6EAF2"/>
              <w:bottom w:val="single" w:sz="8" w:space="0" w:color="E6EAF2"/>
              <w:right w:val="single" w:sz="8" w:space="0" w:color="E6EAF2"/>
            </w:tcBorders>
            <w:shd w:val="clear" w:color="auto" w:fill="FFFFFF"/>
            <w:tcMar>
              <w:top w:w="90" w:type="dxa"/>
              <w:start w:w="110" w:type="dxa"/>
              <w:bottom w:w="90" w:type="dxa"/>
              <w:end w:w="110" w:type="dxa"/>
            </w:tcMar>
          </w:tcPr>
          <w:p w14:paraId="6E01A594" w14:textId="77777777" w:rsidR="005C5CB8" w:rsidRDefault="001B339E">
            <w:pPr>
              <w:pStyle w:val="MetaLabel"/>
            </w:pPr>
            <w:r>
              <w:t>SCOPE</w:t>
            </w:r>
          </w:p>
          <w:p w14:paraId="503A124E" w14:textId="77777777" w:rsidR="005C5CB8" w:rsidRDefault="001B339E">
            <w:pPr>
              <w:pStyle w:val="CardText"/>
            </w:pPr>
            <w:r>
              <w:t>Identity and access, backup and recovery, patching and vulnerabilities, network and infrastructure, MFA and security, documentation, licensing and spend, disaster recovery, and vendor/MSP ownership.</w:t>
            </w:r>
          </w:p>
        </w:tc>
      </w:tr>
    </w:tbl>
    <w:p w14:paraId="62E5CDCF" w14:textId="77777777" w:rsidR="005C5CB8" w:rsidRDefault="005C5CB8"/>
    <w:p w14:paraId="251577F6" w14:textId="77777777" w:rsidR="005C5CB8" w:rsidRDefault="001B339E">
      <w:pPr>
        <w:pStyle w:val="Heading1"/>
        <w:pageBreakBefore/>
      </w:pPr>
      <w:r>
        <w:t>Environment Snapshot</w:t>
      </w:r>
    </w:p>
    <w:p w14:paraId="43A7D236" w14:textId="77777777" w:rsidR="005C5CB8" w:rsidRDefault="001B339E">
      <w:pPr>
        <w:pStyle w:val="CardText"/>
      </w:pPr>
      <w:r>
        <w:t>Capture the essential environment details at a glance.</w:t>
      </w:r>
    </w:p>
    <w:tbl>
      <w:tblPr>
        <w:tblStyle w:val="TableGrid"/>
        <w:tblW w:w="0" w:type="auto"/>
        <w:tblLook w:val="04A0" w:firstRow="1" w:lastRow="0" w:firstColumn="1" w:lastColumn="0" w:noHBand="0" w:noVBand="1"/>
      </w:tblPr>
      <w:tblGrid>
        <w:gridCol w:w="5102"/>
        <w:gridCol w:w="5102"/>
      </w:tblGrid>
      <w:tr w:rsidR="005C5CB8" w14:paraId="7B13980D" w14:textId="77777777">
        <w:tc>
          <w:tcPr>
            <w:tcW w:w="5112"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18384427" w14:textId="77777777" w:rsidR="005C5CB8" w:rsidRDefault="001B339E">
            <w:pPr>
              <w:pStyle w:val="MetaLabel"/>
            </w:pPr>
            <w:r>
              <w:t>Organization / Site</w:t>
            </w:r>
          </w:p>
        </w:tc>
        <w:tc>
          <w:tcPr>
            <w:tcW w:w="5112"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419B3A2D" w14:textId="77777777" w:rsidR="005C5CB8" w:rsidRDefault="001B339E">
            <w:pPr>
              <w:pStyle w:val="CardText"/>
            </w:pPr>
            <w:r>
              <w:t>[Organization, business unit, site(s), or environment being assessed]</w:t>
            </w:r>
          </w:p>
        </w:tc>
      </w:tr>
      <w:tr w:rsidR="005C5CB8" w14:paraId="01F13D79" w14:textId="77777777">
        <w:tc>
          <w:tcPr>
            <w:tcW w:w="5112"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39BD2468" w14:textId="77777777" w:rsidR="005C5CB8" w:rsidRDefault="001B339E">
            <w:pPr>
              <w:pStyle w:val="MetaLabel"/>
            </w:pPr>
            <w:r>
              <w:t>Primary IT Contacts</w:t>
            </w:r>
          </w:p>
        </w:tc>
        <w:tc>
          <w:tcPr>
            <w:tcW w:w="5112"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82A8306" w14:textId="77777777" w:rsidR="005C5CB8" w:rsidRDefault="001B339E">
            <w:pPr>
              <w:pStyle w:val="CardText"/>
            </w:pPr>
            <w:r>
              <w:t>[Internal IT, business owners, MSP / vendor contacts, security owners]</w:t>
            </w:r>
          </w:p>
        </w:tc>
      </w:tr>
      <w:tr w:rsidR="005C5CB8" w14:paraId="7C58188E" w14:textId="77777777">
        <w:tc>
          <w:tcPr>
            <w:tcW w:w="5112"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1ECFF897" w14:textId="77777777" w:rsidR="005C5CB8" w:rsidRDefault="001B339E">
            <w:pPr>
              <w:pStyle w:val="MetaLabel"/>
            </w:pPr>
            <w:r>
              <w:t>Core Platforms</w:t>
            </w:r>
          </w:p>
        </w:tc>
        <w:tc>
          <w:tcPr>
            <w:tcW w:w="5112"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B808416" w14:textId="77777777" w:rsidR="005C5CB8" w:rsidRDefault="001B339E">
            <w:pPr>
              <w:pStyle w:val="CardText"/>
            </w:pPr>
            <w:r>
              <w:t>[Identity, endpoint, network, virtualization, storage, cloud, SaaS, security stack]</w:t>
            </w:r>
          </w:p>
        </w:tc>
      </w:tr>
      <w:tr w:rsidR="005C5CB8" w14:paraId="2694B130" w14:textId="77777777">
        <w:tc>
          <w:tcPr>
            <w:tcW w:w="5112"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5AB2F43F" w14:textId="77777777" w:rsidR="005C5CB8" w:rsidRDefault="001B339E">
            <w:pPr>
              <w:pStyle w:val="MetaLabel"/>
            </w:pPr>
            <w:r>
              <w:t>Business-Critical Services</w:t>
            </w:r>
          </w:p>
        </w:tc>
        <w:tc>
          <w:tcPr>
            <w:tcW w:w="5112"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E510E0C" w14:textId="77777777" w:rsidR="005C5CB8" w:rsidRDefault="001B339E">
            <w:pPr>
              <w:pStyle w:val="CardText"/>
            </w:pPr>
            <w:r>
              <w:t>[Applications, workflows, locations, and services that cannot be unavailable]</w:t>
            </w:r>
          </w:p>
        </w:tc>
      </w:tr>
      <w:tr w:rsidR="005C5CB8" w14:paraId="6753B2CA" w14:textId="77777777">
        <w:tc>
          <w:tcPr>
            <w:tcW w:w="5112"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315E3536" w14:textId="77777777" w:rsidR="005C5CB8" w:rsidRDefault="001B339E">
            <w:pPr>
              <w:pStyle w:val="MetaLabel"/>
            </w:pPr>
            <w:r>
              <w:t>Known Constraints / Notes</w:t>
            </w:r>
          </w:p>
        </w:tc>
        <w:tc>
          <w:tcPr>
            <w:tcW w:w="5112"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062C29FE" w14:textId="77777777" w:rsidR="005C5CB8" w:rsidRDefault="001B339E">
            <w:pPr>
              <w:pStyle w:val="CardText"/>
            </w:pPr>
            <w:r>
              <w:t>[Compliance, staffing, contracts, budget, legacy systems, current incidents, project dependencies]</w:t>
            </w:r>
          </w:p>
        </w:tc>
      </w:tr>
    </w:tbl>
    <w:p w14:paraId="10FECE18" w14:textId="77777777" w:rsidR="005C5CB8" w:rsidRDefault="005C5CB8"/>
    <w:p w14:paraId="1A3538FA" w14:textId="77777777" w:rsidR="005C5CB8" w:rsidRDefault="001B339E">
      <w:pPr>
        <w:pStyle w:val="Heading1"/>
      </w:pPr>
      <w:r>
        <w:t>Assessment Approach</w:t>
      </w:r>
    </w:p>
    <w:p w14:paraId="06D78286" w14:textId="77777777" w:rsidR="005C5CB8" w:rsidRDefault="001B339E">
      <w:pPr>
        <w:pStyle w:val="CardText"/>
      </w:pPr>
      <w:r>
        <w:t>Use a simple three-step approach: discover, validate, then prioritize.</w:t>
      </w:r>
    </w:p>
    <w:tbl>
      <w:tblPr>
        <w:tblW w:w="0" w:type="auto"/>
        <w:jc w:val="center"/>
        <w:tblLook w:val="04A0" w:firstRow="1" w:lastRow="0" w:firstColumn="1" w:lastColumn="0" w:noHBand="0" w:noVBand="1"/>
      </w:tblPr>
      <w:tblGrid>
        <w:gridCol w:w="10191"/>
      </w:tblGrid>
      <w:tr w:rsidR="005C5CB8" w14:paraId="2B6A2E16" w14:textId="77777777">
        <w:trPr>
          <w:jc w:val="center"/>
        </w:trPr>
        <w:tc>
          <w:tcPr>
            <w:tcW w:w="10224" w:type="dxa"/>
            <w:tcBorders>
              <w:top w:val="single" w:sz="8" w:space="0" w:color="E6EAF2"/>
              <w:left w:val="single" w:sz="18" w:space="0" w:color="F47A20"/>
              <w:bottom w:val="single" w:sz="8" w:space="0" w:color="E6EAF2"/>
              <w:right w:val="single" w:sz="8" w:space="0" w:color="E6EAF2"/>
            </w:tcBorders>
            <w:shd w:val="clear" w:color="auto" w:fill="FFFFFF"/>
            <w:tcMar>
              <w:top w:w="90" w:type="dxa"/>
              <w:start w:w="110" w:type="dxa"/>
              <w:bottom w:w="90" w:type="dxa"/>
              <w:end w:w="110" w:type="dxa"/>
            </w:tcMar>
          </w:tcPr>
          <w:p w14:paraId="14B70EE5" w14:textId="77777777" w:rsidR="005C5CB8" w:rsidRDefault="001B339E">
            <w:pPr>
              <w:pStyle w:val="MetaLabel"/>
            </w:pPr>
            <w:r>
              <w:t>STEP 1</w:t>
            </w:r>
          </w:p>
          <w:p w14:paraId="4DC33438" w14:textId="77777777" w:rsidR="005C5CB8" w:rsidRDefault="001B339E">
            <w:pPr>
              <w:pStyle w:val="MetaValue"/>
            </w:pPr>
            <w:r>
              <w:t>Discover the environment</w:t>
            </w:r>
          </w:p>
          <w:p w14:paraId="54B717B1" w14:textId="77777777" w:rsidR="005C5CB8" w:rsidRDefault="001B339E">
            <w:pPr>
              <w:pStyle w:val="CardText"/>
            </w:pPr>
            <w:r>
              <w:t>Interview the people who operate and depend on the environment. Inventory the systems, owners, dependencies, and known pain points.</w:t>
            </w:r>
          </w:p>
          <w:p w14:paraId="0F14C8DB" w14:textId="77777777" w:rsidR="005C5CB8" w:rsidRDefault="001B339E">
            <w:pPr>
              <w:pStyle w:val="CardText"/>
            </w:pPr>
            <w:r>
              <w:t>Outcome: A working picture of what exists and what matters.</w:t>
            </w:r>
          </w:p>
        </w:tc>
      </w:tr>
      <w:tr w:rsidR="005C5CB8" w14:paraId="626FEB06" w14:textId="77777777">
        <w:trPr>
          <w:jc w:val="center"/>
        </w:trPr>
        <w:tc>
          <w:tcPr>
            <w:tcW w:w="10224" w:type="dxa"/>
            <w:tcBorders>
              <w:top w:val="single" w:sz="8" w:space="0" w:color="E6EAF2"/>
              <w:left w:val="single" w:sz="18" w:space="0" w:color="0B2C67"/>
              <w:bottom w:val="single" w:sz="8" w:space="0" w:color="E6EAF2"/>
              <w:right w:val="single" w:sz="8" w:space="0" w:color="E6EAF2"/>
            </w:tcBorders>
            <w:shd w:val="clear" w:color="auto" w:fill="FFFFFF"/>
            <w:tcMar>
              <w:top w:w="90" w:type="dxa"/>
              <w:start w:w="110" w:type="dxa"/>
              <w:bottom w:w="90" w:type="dxa"/>
              <w:end w:w="110" w:type="dxa"/>
            </w:tcMar>
          </w:tcPr>
          <w:p w14:paraId="2376C222" w14:textId="77777777" w:rsidR="005C5CB8" w:rsidRDefault="001B339E">
            <w:pPr>
              <w:pStyle w:val="MetaLabel"/>
            </w:pPr>
            <w:r>
              <w:t>STEP 2</w:t>
            </w:r>
          </w:p>
          <w:p w14:paraId="1E025869" w14:textId="77777777" w:rsidR="005C5CB8" w:rsidRDefault="001B339E">
            <w:pPr>
              <w:pStyle w:val="MetaValue"/>
            </w:pPr>
            <w:r>
              <w:t>Validate with evidence</w:t>
            </w:r>
          </w:p>
          <w:p w14:paraId="5B06879D" w14:textId="77777777" w:rsidR="005C5CB8" w:rsidRDefault="001B339E">
            <w:pPr>
              <w:pStyle w:val="CardText"/>
            </w:pPr>
            <w:r>
              <w:t>Confirm important answers with exports, configurations, tests, diagrams, contracts, logs, and recovery evidence.</w:t>
            </w:r>
          </w:p>
          <w:p w14:paraId="248D7937" w14:textId="77777777" w:rsidR="005C5CB8" w:rsidRDefault="001B339E">
            <w:pPr>
              <w:pStyle w:val="CardText"/>
            </w:pPr>
            <w:r>
              <w:t>Outcome: Fewer assumptions and a defensible assessment record.</w:t>
            </w:r>
          </w:p>
        </w:tc>
      </w:tr>
      <w:tr w:rsidR="005C5CB8" w14:paraId="21A30066" w14:textId="77777777">
        <w:trPr>
          <w:jc w:val="center"/>
        </w:trPr>
        <w:tc>
          <w:tcPr>
            <w:tcW w:w="10224" w:type="dxa"/>
            <w:tcBorders>
              <w:top w:val="single" w:sz="8" w:space="0" w:color="E6EAF2"/>
              <w:left w:val="single" w:sz="18" w:space="0" w:color="0B2C67"/>
              <w:bottom w:val="single" w:sz="8" w:space="0" w:color="E6EAF2"/>
              <w:right w:val="single" w:sz="8" w:space="0" w:color="E6EAF2"/>
            </w:tcBorders>
            <w:shd w:val="clear" w:color="auto" w:fill="FFFFFF"/>
            <w:tcMar>
              <w:top w:w="90" w:type="dxa"/>
              <w:start w:w="110" w:type="dxa"/>
              <w:bottom w:w="90" w:type="dxa"/>
              <w:end w:w="110" w:type="dxa"/>
            </w:tcMar>
          </w:tcPr>
          <w:p w14:paraId="7A984049" w14:textId="77777777" w:rsidR="005C5CB8" w:rsidRDefault="001B339E">
            <w:pPr>
              <w:pStyle w:val="MetaLabel"/>
            </w:pPr>
            <w:r>
              <w:t>STEP 3</w:t>
            </w:r>
          </w:p>
          <w:p w14:paraId="3DE71B11" w14:textId="77777777" w:rsidR="005C5CB8" w:rsidRDefault="001B339E">
            <w:pPr>
              <w:pStyle w:val="MetaValue"/>
            </w:pPr>
            <w:r>
              <w:t>Prioritize what matters</w:t>
            </w:r>
          </w:p>
          <w:p w14:paraId="66064067" w14:textId="77777777" w:rsidR="005C5CB8" w:rsidRDefault="001B339E">
            <w:pPr>
              <w:pStyle w:val="CardText"/>
            </w:pPr>
            <w:r>
              <w:t>Separate observations from risk. Assign ownership, severity, and next actions based on business impact and likelihood.</w:t>
            </w:r>
          </w:p>
          <w:p w14:paraId="18E19878" w14:textId="77777777" w:rsidR="005C5CB8" w:rsidRDefault="001B339E">
            <w:pPr>
              <w:pStyle w:val="CardText"/>
            </w:pPr>
            <w:r>
              <w:t>Outcome: Recommendations that follow the assessment — not the other way around.</w:t>
            </w:r>
          </w:p>
        </w:tc>
      </w:tr>
    </w:tbl>
    <w:p w14:paraId="05530381" w14:textId="77777777" w:rsidR="005C5CB8" w:rsidRDefault="001B339E">
      <w:r>
        <w:br w:type="page"/>
      </w:r>
    </w:p>
    <w:p w14:paraId="5CBA130D" w14:textId="77777777" w:rsidR="005C5CB8" w:rsidRDefault="001B339E">
      <w:pPr>
        <w:pStyle w:val="Heading1"/>
      </w:pPr>
      <w:r>
        <w:t>Initial Evidence Request</w:t>
      </w:r>
    </w:p>
    <w:p w14:paraId="6979B37C" w14:textId="77777777" w:rsidR="005C5CB8" w:rsidRDefault="001B339E">
      <w:pPr>
        <w:pStyle w:val="CardText"/>
      </w:pPr>
      <w:r>
        <w:t>Request enough evidence to validate the highest-value areas without overwhelming the organization.</w:t>
      </w:r>
    </w:p>
    <w:tbl>
      <w:tblPr>
        <w:tblW w:w="0" w:type="auto"/>
        <w:tblLook w:val="04A0" w:firstRow="1" w:lastRow="0" w:firstColumn="1" w:lastColumn="0" w:noHBand="0" w:noVBand="1"/>
      </w:tblPr>
      <w:tblGrid>
        <w:gridCol w:w="2040"/>
        <w:gridCol w:w="2041"/>
        <w:gridCol w:w="2041"/>
        <w:gridCol w:w="2041"/>
        <w:gridCol w:w="2041"/>
      </w:tblGrid>
      <w:tr w:rsidR="005C5CB8" w14:paraId="6955D127" w14:textId="77777777">
        <w:tc>
          <w:tcPr>
            <w:tcW w:w="2045" w:type="dxa"/>
            <w:tcBorders>
              <w:top w:val="single" w:sz="8" w:space="0" w:color="0B2C67"/>
              <w:left w:val="single" w:sz="8" w:space="0" w:color="0B2C67"/>
              <w:bottom w:val="single" w:sz="8" w:space="0" w:color="0B2C67"/>
              <w:right w:val="single" w:sz="8" w:space="0" w:color="0B2C67"/>
            </w:tcBorders>
            <w:shd w:val="clear" w:color="auto" w:fill="0B2C67"/>
            <w:tcMar>
              <w:top w:w="90" w:type="dxa"/>
              <w:start w:w="110" w:type="dxa"/>
              <w:bottom w:w="90" w:type="dxa"/>
              <w:end w:w="110" w:type="dxa"/>
            </w:tcMar>
          </w:tcPr>
          <w:p w14:paraId="7CE78D1C" w14:textId="77777777" w:rsidR="005C5CB8" w:rsidRDefault="001B339E">
            <w:pPr>
              <w:jc w:val="center"/>
            </w:pPr>
            <w:r>
              <w:rPr>
                <w:b/>
                <w:color w:val="FFFFFF"/>
                <w:sz w:val="19"/>
              </w:rPr>
              <w:t>Priority</w:t>
            </w:r>
          </w:p>
        </w:tc>
        <w:tc>
          <w:tcPr>
            <w:tcW w:w="2045" w:type="dxa"/>
            <w:tcBorders>
              <w:top w:val="single" w:sz="8" w:space="0" w:color="0B2C67"/>
              <w:left w:val="single" w:sz="8" w:space="0" w:color="0B2C67"/>
              <w:bottom w:val="single" w:sz="8" w:space="0" w:color="0B2C67"/>
              <w:right w:val="single" w:sz="8" w:space="0" w:color="0B2C67"/>
            </w:tcBorders>
            <w:shd w:val="clear" w:color="auto" w:fill="0B2C67"/>
            <w:tcMar>
              <w:top w:w="90" w:type="dxa"/>
              <w:start w:w="110" w:type="dxa"/>
              <w:bottom w:w="90" w:type="dxa"/>
              <w:end w:w="110" w:type="dxa"/>
            </w:tcMar>
          </w:tcPr>
          <w:p w14:paraId="5A1D6F0B" w14:textId="77777777" w:rsidR="005C5CB8" w:rsidRDefault="001B339E">
            <w:pPr>
              <w:jc w:val="center"/>
            </w:pPr>
            <w:r>
              <w:rPr>
                <w:b/>
                <w:color w:val="FFFFFF"/>
                <w:sz w:val="19"/>
              </w:rPr>
              <w:t>Requested Evidence</w:t>
            </w:r>
          </w:p>
        </w:tc>
        <w:tc>
          <w:tcPr>
            <w:tcW w:w="2045" w:type="dxa"/>
            <w:tcBorders>
              <w:top w:val="single" w:sz="8" w:space="0" w:color="0B2C67"/>
              <w:left w:val="single" w:sz="8" w:space="0" w:color="0B2C67"/>
              <w:bottom w:val="single" w:sz="8" w:space="0" w:color="0B2C67"/>
              <w:right w:val="single" w:sz="8" w:space="0" w:color="0B2C67"/>
            </w:tcBorders>
            <w:shd w:val="clear" w:color="auto" w:fill="0B2C67"/>
            <w:tcMar>
              <w:top w:w="90" w:type="dxa"/>
              <w:start w:w="110" w:type="dxa"/>
              <w:bottom w:w="90" w:type="dxa"/>
              <w:end w:w="110" w:type="dxa"/>
            </w:tcMar>
          </w:tcPr>
          <w:p w14:paraId="3639ED36" w14:textId="77777777" w:rsidR="005C5CB8" w:rsidRDefault="001B339E">
            <w:pPr>
              <w:jc w:val="center"/>
            </w:pPr>
            <w:r>
              <w:rPr>
                <w:b/>
                <w:color w:val="FFFFFF"/>
                <w:sz w:val="19"/>
              </w:rPr>
              <w:t>Owner</w:t>
            </w:r>
          </w:p>
        </w:tc>
        <w:tc>
          <w:tcPr>
            <w:tcW w:w="2045" w:type="dxa"/>
            <w:tcBorders>
              <w:top w:val="single" w:sz="8" w:space="0" w:color="0B2C67"/>
              <w:left w:val="single" w:sz="8" w:space="0" w:color="0B2C67"/>
              <w:bottom w:val="single" w:sz="8" w:space="0" w:color="0B2C67"/>
              <w:right w:val="single" w:sz="8" w:space="0" w:color="0B2C67"/>
            </w:tcBorders>
            <w:shd w:val="clear" w:color="auto" w:fill="0B2C67"/>
            <w:tcMar>
              <w:top w:w="90" w:type="dxa"/>
              <w:start w:w="110" w:type="dxa"/>
              <w:bottom w:w="90" w:type="dxa"/>
              <w:end w:w="110" w:type="dxa"/>
            </w:tcMar>
          </w:tcPr>
          <w:p w14:paraId="674DFFE4" w14:textId="77777777" w:rsidR="005C5CB8" w:rsidRDefault="001B339E">
            <w:pPr>
              <w:jc w:val="center"/>
            </w:pPr>
            <w:r>
              <w:rPr>
                <w:b/>
                <w:color w:val="FFFFFF"/>
                <w:sz w:val="19"/>
              </w:rPr>
              <w:t>Received</w:t>
            </w:r>
          </w:p>
        </w:tc>
        <w:tc>
          <w:tcPr>
            <w:tcW w:w="2045" w:type="dxa"/>
            <w:tcBorders>
              <w:top w:val="single" w:sz="8" w:space="0" w:color="0B2C67"/>
              <w:left w:val="single" w:sz="8" w:space="0" w:color="0B2C67"/>
              <w:bottom w:val="single" w:sz="8" w:space="0" w:color="0B2C67"/>
              <w:right w:val="single" w:sz="8" w:space="0" w:color="0B2C67"/>
            </w:tcBorders>
            <w:shd w:val="clear" w:color="auto" w:fill="0B2C67"/>
            <w:tcMar>
              <w:top w:w="90" w:type="dxa"/>
              <w:start w:w="110" w:type="dxa"/>
              <w:bottom w:w="90" w:type="dxa"/>
              <w:end w:w="110" w:type="dxa"/>
            </w:tcMar>
          </w:tcPr>
          <w:p w14:paraId="365EAE69" w14:textId="77777777" w:rsidR="005C5CB8" w:rsidRDefault="001B339E">
            <w:pPr>
              <w:jc w:val="center"/>
            </w:pPr>
            <w:r>
              <w:rPr>
                <w:b/>
                <w:color w:val="FFFFFF"/>
                <w:sz w:val="19"/>
              </w:rPr>
              <w:t>Notes</w:t>
            </w:r>
          </w:p>
        </w:tc>
      </w:tr>
      <w:tr w:rsidR="005C5CB8" w14:paraId="21747E84"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1C45AB4C" w14:textId="77777777" w:rsidR="005C5CB8" w:rsidRDefault="001B339E">
            <w:pPr>
              <w:pStyle w:val="CardText"/>
            </w:pPr>
            <w:r>
              <w:t>High</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37C94C31" w14:textId="77777777" w:rsidR="005C5CB8" w:rsidRDefault="001B339E">
            <w:pPr>
              <w:pStyle w:val="CardText"/>
            </w:pPr>
            <w:r>
              <w:t>Privileged access and administrator inventory</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407CB583" w14:textId="77777777" w:rsidR="005C5CB8" w:rsidRDefault="001B339E">
            <w:pPr>
              <w:pStyle w:val="CardText"/>
            </w:pPr>
            <w:r>
              <w:t>Identity / Security</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0B4C47E5" w14:textId="77777777" w:rsidR="005C5CB8" w:rsidRDefault="001B339E">
            <w:pPr>
              <w:pStyle w:val="CardText"/>
            </w:pPr>
            <w:r>
              <w:t>[ ]</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086EE5DA" w14:textId="77777777" w:rsidR="005C5CB8" w:rsidRDefault="001B339E">
            <w:pPr>
              <w:pStyle w:val="CardText"/>
            </w:pPr>
            <w:r>
              <w:t>Include service and vendor accounts</w:t>
            </w:r>
          </w:p>
        </w:tc>
      </w:tr>
      <w:tr w:rsidR="005C5CB8" w14:paraId="3FBCECAC"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0D2648C6" w14:textId="77777777" w:rsidR="005C5CB8" w:rsidRDefault="001B339E">
            <w:pPr>
              <w:pStyle w:val="CardText"/>
            </w:pPr>
            <w:r>
              <w:t>High</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0C29DF6" w14:textId="77777777" w:rsidR="005C5CB8" w:rsidRDefault="001B339E">
            <w:pPr>
              <w:pStyle w:val="CardText"/>
            </w:pPr>
            <w:r>
              <w:t>Backup job status + latest restore-test evidence</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532AB87" w14:textId="77777777" w:rsidR="005C5CB8" w:rsidRDefault="001B339E">
            <w:pPr>
              <w:pStyle w:val="CardText"/>
            </w:pPr>
            <w:r>
              <w:t>Infrastructure</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3EB269E" w14:textId="77777777" w:rsidR="005C5CB8" w:rsidRDefault="001B339E">
            <w:pPr>
              <w:pStyle w:val="CardText"/>
            </w:pPr>
            <w:r>
              <w:t>[ ]</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7F356DA9" w14:textId="77777777" w:rsidR="005C5CB8" w:rsidRDefault="001B339E">
            <w:pPr>
              <w:pStyle w:val="CardText"/>
            </w:pPr>
            <w:r>
              <w:t>Confirm at least one real recovery path</w:t>
            </w:r>
          </w:p>
        </w:tc>
      </w:tr>
      <w:tr w:rsidR="005C5CB8" w14:paraId="3814336B"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4DD05B20" w14:textId="77777777" w:rsidR="005C5CB8" w:rsidRDefault="001B339E">
            <w:pPr>
              <w:pStyle w:val="CardText"/>
            </w:pPr>
            <w:r>
              <w:t>High</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4D44AFE5" w14:textId="77777777" w:rsidR="005C5CB8" w:rsidRDefault="001B339E">
            <w:pPr>
              <w:pStyle w:val="CardText"/>
            </w:pPr>
            <w:r>
              <w:t>Critical / high vulnerability and patching report</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F1CB2CA" w14:textId="77777777" w:rsidR="005C5CB8" w:rsidRDefault="001B339E">
            <w:pPr>
              <w:pStyle w:val="CardText"/>
            </w:pPr>
            <w:r>
              <w:t>Security / Endpoint</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6B03DDFA" w14:textId="77777777" w:rsidR="005C5CB8" w:rsidRDefault="001B339E">
            <w:pPr>
              <w:pStyle w:val="CardText"/>
            </w:pPr>
            <w:r>
              <w:t>[ ]</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0E679D8F" w14:textId="77777777" w:rsidR="005C5CB8" w:rsidRDefault="001B339E">
            <w:pPr>
              <w:pStyle w:val="CardText"/>
            </w:pPr>
            <w:r>
              <w:t>Include assets not reporting</w:t>
            </w:r>
          </w:p>
        </w:tc>
      </w:tr>
      <w:tr w:rsidR="005C5CB8" w14:paraId="23EB1FA1"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7A0559BF" w14:textId="77777777" w:rsidR="005C5CB8" w:rsidRDefault="001B339E">
            <w:pPr>
              <w:pStyle w:val="CardText"/>
            </w:pPr>
            <w:r>
              <w:t>Medium</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3A50F856" w14:textId="77777777" w:rsidR="005C5CB8" w:rsidRDefault="001B339E">
            <w:pPr>
              <w:pStyle w:val="CardText"/>
            </w:pPr>
            <w:r>
              <w:t>Current network and infrastructure diagrams</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4F53D023" w14:textId="77777777" w:rsidR="005C5CB8" w:rsidRDefault="001B339E">
            <w:pPr>
              <w:pStyle w:val="CardText"/>
            </w:pPr>
            <w:r>
              <w:t>Network / Infrastructure</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D64A0D6" w14:textId="77777777" w:rsidR="005C5CB8" w:rsidRDefault="001B339E">
            <w:pPr>
              <w:pStyle w:val="CardText"/>
            </w:pPr>
            <w:r>
              <w:t>[ ]</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787B0E93" w14:textId="77777777" w:rsidR="005C5CB8" w:rsidRDefault="001B339E">
            <w:pPr>
              <w:pStyle w:val="CardText"/>
            </w:pPr>
            <w:r>
              <w:t>Compare diagram to production</w:t>
            </w:r>
          </w:p>
        </w:tc>
      </w:tr>
      <w:tr w:rsidR="005C5CB8" w14:paraId="275AA65E"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0E2931A4" w14:textId="77777777" w:rsidR="005C5CB8" w:rsidRDefault="001B339E">
            <w:pPr>
              <w:pStyle w:val="CardText"/>
            </w:pPr>
            <w:r>
              <w:t>High</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D62255C" w14:textId="77777777" w:rsidR="005C5CB8" w:rsidRDefault="001B339E">
            <w:pPr>
              <w:pStyle w:val="CardText"/>
            </w:pPr>
            <w:r>
              <w:t>MFA / conditional access + security exception list</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94030E3" w14:textId="77777777" w:rsidR="005C5CB8" w:rsidRDefault="001B339E">
            <w:pPr>
              <w:pStyle w:val="CardText"/>
            </w:pPr>
            <w:r>
              <w:t>Identity / Security</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4EA02E9C" w14:textId="77777777" w:rsidR="005C5CB8" w:rsidRDefault="001B339E">
            <w:pPr>
              <w:pStyle w:val="CardText"/>
            </w:pPr>
            <w:r>
              <w:t>[ ]</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7228EEB6" w14:textId="77777777" w:rsidR="005C5CB8" w:rsidRDefault="001B339E">
            <w:pPr>
              <w:pStyle w:val="CardText"/>
            </w:pPr>
            <w:r>
              <w:t>Identify bypasses and legacy auth</w:t>
            </w:r>
          </w:p>
        </w:tc>
      </w:tr>
      <w:tr w:rsidR="005C5CB8" w14:paraId="1D58A4D0"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5BAD2D80" w14:textId="77777777" w:rsidR="005C5CB8" w:rsidRDefault="001B339E">
            <w:pPr>
              <w:pStyle w:val="CardText"/>
            </w:pPr>
            <w:r>
              <w:t>Medium</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DB78109" w14:textId="77777777" w:rsidR="005C5CB8" w:rsidRDefault="001B339E">
            <w:pPr>
              <w:pStyle w:val="CardText"/>
            </w:pPr>
            <w:r>
              <w:t>Documentation index, runbooks, SOPs, vendor contacts</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3DE0193" w14:textId="77777777" w:rsidR="005C5CB8" w:rsidRDefault="001B339E">
            <w:pPr>
              <w:pStyle w:val="CardText"/>
            </w:pPr>
            <w:r>
              <w:t>IT Operations</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6EF2CF0" w14:textId="77777777" w:rsidR="005C5CB8" w:rsidRDefault="001B339E">
            <w:pPr>
              <w:pStyle w:val="CardText"/>
            </w:pPr>
            <w:r>
              <w:t>[ ]</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709BA011" w14:textId="77777777" w:rsidR="005C5CB8" w:rsidRDefault="001B339E">
            <w:pPr>
              <w:pStyle w:val="CardText"/>
            </w:pPr>
            <w:r>
              <w:t>Look for single-person knowledge dependencies</w:t>
            </w:r>
          </w:p>
        </w:tc>
      </w:tr>
      <w:tr w:rsidR="005C5CB8" w14:paraId="78250456"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6CB7841F" w14:textId="77777777" w:rsidR="005C5CB8" w:rsidRDefault="001B339E">
            <w:pPr>
              <w:pStyle w:val="CardText"/>
            </w:pPr>
            <w:r>
              <w:t>Medium</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7547AD1" w14:textId="77777777" w:rsidR="005C5CB8" w:rsidRDefault="001B339E">
            <w:pPr>
              <w:pStyle w:val="CardText"/>
            </w:pPr>
            <w:r>
              <w:t>License / contract / renewal inventory</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EF890F2" w14:textId="77777777" w:rsidR="005C5CB8" w:rsidRDefault="001B339E">
            <w:pPr>
              <w:pStyle w:val="CardText"/>
            </w:pPr>
            <w:r>
              <w:t>IT / Finance</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00DD78C6" w14:textId="77777777" w:rsidR="005C5CB8" w:rsidRDefault="001B339E">
            <w:pPr>
              <w:pStyle w:val="CardText"/>
            </w:pPr>
            <w:r>
              <w:t>[ ]</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4B6EE3C6" w14:textId="77777777" w:rsidR="005C5CB8" w:rsidRDefault="001B339E">
            <w:pPr>
              <w:pStyle w:val="CardText"/>
            </w:pPr>
            <w:r>
              <w:t>Flag overlaps and near-term renewals</w:t>
            </w:r>
          </w:p>
        </w:tc>
      </w:tr>
      <w:tr w:rsidR="005C5CB8" w14:paraId="7403678C" w14:textId="77777777">
        <w:tc>
          <w:tcPr>
            <w:tcW w:w="2045" w:type="dxa"/>
            <w:tcBorders>
              <w:top w:val="single" w:sz="8" w:space="0" w:color="E6EAF2"/>
              <w:left w:val="single" w:sz="8" w:space="0" w:color="E6EAF2"/>
              <w:bottom w:val="single" w:sz="8" w:space="0" w:color="E6EAF2"/>
              <w:right w:val="single" w:sz="8" w:space="0" w:color="E6EAF2"/>
            </w:tcBorders>
            <w:shd w:val="clear" w:color="auto" w:fill="F9FAFC"/>
            <w:tcMar>
              <w:top w:w="90" w:type="dxa"/>
              <w:start w:w="110" w:type="dxa"/>
              <w:bottom w:w="90" w:type="dxa"/>
              <w:end w:w="110" w:type="dxa"/>
            </w:tcMar>
          </w:tcPr>
          <w:p w14:paraId="3F2441A4" w14:textId="77777777" w:rsidR="005C5CB8" w:rsidRDefault="001B339E">
            <w:pPr>
              <w:pStyle w:val="CardText"/>
            </w:pPr>
            <w:r>
              <w:t>High</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6CF707B8" w14:textId="77777777" w:rsidR="005C5CB8" w:rsidRDefault="001B339E">
            <w:pPr>
              <w:pStyle w:val="CardText"/>
            </w:pPr>
            <w:r>
              <w:t>DR plan, RTO/RPO list, tabletop or failover results</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BF00133" w14:textId="77777777" w:rsidR="005C5CB8" w:rsidRDefault="001B339E">
            <w:pPr>
              <w:pStyle w:val="CardText"/>
            </w:pPr>
            <w:r>
              <w:t>IT Leadership</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16AD5F9" w14:textId="77777777" w:rsidR="005C5CB8" w:rsidRDefault="001B339E">
            <w:pPr>
              <w:pStyle w:val="CardText"/>
            </w:pPr>
            <w:r>
              <w:t>[ ]</w:t>
            </w:r>
          </w:p>
        </w:tc>
        <w:tc>
          <w:tcPr>
            <w:tcW w:w="2045"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A9F8022" w14:textId="77777777" w:rsidR="005C5CB8" w:rsidRDefault="001B339E">
            <w:pPr>
              <w:pStyle w:val="CardText"/>
            </w:pPr>
            <w:r>
              <w:t>Confirm decision ownership and restore order</w:t>
            </w:r>
          </w:p>
        </w:tc>
      </w:tr>
    </w:tbl>
    <w:p w14:paraId="41A865D6" w14:textId="77777777" w:rsidR="005C5CB8" w:rsidRDefault="005C5CB8"/>
    <w:p w14:paraId="7457A5DF" w14:textId="77777777" w:rsidR="005C5CB8" w:rsidRDefault="001B339E">
      <w:pPr>
        <w:pStyle w:val="Heading1"/>
        <w:pageBreakBefore/>
      </w:pPr>
      <w:r>
        <w:t>First-Day Assessment Workflow</w:t>
      </w:r>
    </w:p>
    <w:p w14:paraId="618341C3" w14:textId="77777777" w:rsidR="005C5CB8" w:rsidRDefault="001B339E">
      <w:pPr>
        <w:pStyle w:val="CardText"/>
      </w:pPr>
      <w:r>
        <w:t>A practical sequence for the first working day in an unfamiliar environment.</w:t>
      </w:r>
    </w:p>
    <w:p w14:paraId="037EC975" w14:textId="77777777" w:rsidR="005C5CB8" w:rsidRDefault="001B339E">
      <w:pPr>
        <w:pStyle w:val="CardText"/>
      </w:pPr>
      <w:r>
        <w:t>☐ Establish scope: confirm business-critical services, locations, key contacts, current incidents, and known constraints.</w:t>
      </w:r>
    </w:p>
    <w:p w14:paraId="32034B65" w14:textId="77777777" w:rsidR="005C5CB8" w:rsidRDefault="001B339E">
      <w:pPr>
        <w:pStyle w:val="CardText"/>
      </w:pPr>
      <w:r>
        <w:t>☐ Validate core controls: privileged access, MFA, offboarding, backups, restore readiness, patching, vulnerabilities, endpoint security, and logging.</w:t>
      </w:r>
    </w:p>
    <w:p w14:paraId="43703CE1" w14:textId="77777777" w:rsidR="005C5CB8" w:rsidRDefault="001B339E">
      <w:pPr>
        <w:pStyle w:val="CardText"/>
      </w:pPr>
      <w:r>
        <w:t>☐ Validate operations: network/infrastructure, documentation, licensing and renewals, vendor/MSP ownership, and disaster recovery readiness.</w:t>
      </w:r>
    </w:p>
    <w:p w14:paraId="43DC5FC0" w14:textId="77777777" w:rsidR="005C5CB8" w:rsidRDefault="001B339E">
      <w:pPr>
        <w:pStyle w:val="CardText"/>
      </w:pPr>
      <w:r>
        <w:t>☐ Capture findings, evidence gaps, owners, risk, and recommended next actions in the assessment workbook.</w:t>
      </w:r>
    </w:p>
    <w:p w14:paraId="785224AF" w14:textId="77777777" w:rsidR="005C5CB8" w:rsidRDefault="005C5CB8"/>
    <w:p w14:paraId="025648E9" w14:textId="77777777" w:rsidR="005C5CB8" w:rsidRDefault="001B339E">
      <w:pPr>
        <w:pStyle w:val="Heading1"/>
      </w:pPr>
      <w:r>
        <w:t>Notes / References</w:t>
      </w:r>
    </w:p>
    <w:p w14:paraId="4337C585" w14:textId="77777777" w:rsidR="005C5CB8" w:rsidRDefault="001B339E">
      <w:pPr>
        <w:pStyle w:val="CardText"/>
      </w:pPr>
      <w:r>
        <w:t>Use this guide alongside the GoodwinGetsIT IT Environment Assessment Workbook. Adapt evidence requests to the organization and avoid collecting sensitive information that is not necessary for the assessment.</w:t>
      </w:r>
    </w:p>
    <w:p w14:paraId="4DA165F8" w14:textId="77777777" w:rsidR="005C5CB8" w:rsidRDefault="005C5CB8"/>
    <w:p w14:paraId="43D1C617" w14:textId="77777777" w:rsidR="005C5CB8" w:rsidRDefault="001B339E">
      <w:pPr>
        <w:pStyle w:val="Heading1"/>
      </w:pPr>
      <w:r>
        <w:t>Change History</w:t>
      </w:r>
    </w:p>
    <w:tbl>
      <w:tblPr>
        <w:tblW w:w="0" w:type="auto"/>
        <w:tblLook w:val="04A0" w:firstRow="1" w:lastRow="0" w:firstColumn="1" w:lastColumn="0" w:noHBand="0" w:noVBand="1"/>
      </w:tblPr>
      <w:tblGrid>
        <w:gridCol w:w="2556"/>
        <w:gridCol w:w="2556"/>
        <w:gridCol w:w="2556"/>
        <w:gridCol w:w="2556"/>
      </w:tblGrid>
      <w:tr w:rsidR="005C5CB8" w14:paraId="144BD3D8" w14:textId="77777777">
        <w:tc>
          <w:tcPr>
            <w:tcW w:w="2556" w:type="dxa"/>
            <w:shd w:val="clear" w:color="auto" w:fill="F47A20"/>
            <w:tcMar>
              <w:top w:w="90" w:type="dxa"/>
              <w:start w:w="110" w:type="dxa"/>
              <w:bottom w:w="90" w:type="dxa"/>
              <w:end w:w="110" w:type="dxa"/>
            </w:tcMar>
          </w:tcPr>
          <w:p w14:paraId="61A948E1" w14:textId="77777777" w:rsidR="005C5CB8" w:rsidRDefault="001B339E">
            <w:r>
              <w:rPr>
                <w:b/>
                <w:color w:val="FFFFFF"/>
                <w:sz w:val="19"/>
              </w:rPr>
              <w:t>Date</w:t>
            </w:r>
          </w:p>
        </w:tc>
        <w:tc>
          <w:tcPr>
            <w:tcW w:w="2556" w:type="dxa"/>
            <w:shd w:val="clear" w:color="auto" w:fill="F47A20"/>
            <w:tcMar>
              <w:top w:w="90" w:type="dxa"/>
              <w:start w:w="110" w:type="dxa"/>
              <w:bottom w:w="90" w:type="dxa"/>
              <w:end w:w="110" w:type="dxa"/>
            </w:tcMar>
          </w:tcPr>
          <w:p w14:paraId="365DC87D" w14:textId="77777777" w:rsidR="005C5CB8" w:rsidRDefault="001B339E">
            <w:r>
              <w:rPr>
                <w:b/>
                <w:color w:val="FFFFFF"/>
                <w:sz w:val="19"/>
              </w:rPr>
              <w:t>Version</w:t>
            </w:r>
          </w:p>
        </w:tc>
        <w:tc>
          <w:tcPr>
            <w:tcW w:w="2556" w:type="dxa"/>
            <w:shd w:val="clear" w:color="auto" w:fill="F47A20"/>
            <w:tcMar>
              <w:top w:w="90" w:type="dxa"/>
              <w:start w:w="110" w:type="dxa"/>
              <w:bottom w:w="90" w:type="dxa"/>
              <w:end w:w="110" w:type="dxa"/>
            </w:tcMar>
          </w:tcPr>
          <w:p w14:paraId="46E13AB4" w14:textId="77777777" w:rsidR="005C5CB8" w:rsidRDefault="001B339E">
            <w:r>
              <w:rPr>
                <w:b/>
                <w:color w:val="FFFFFF"/>
                <w:sz w:val="19"/>
              </w:rPr>
              <w:t>Updated By</w:t>
            </w:r>
          </w:p>
        </w:tc>
        <w:tc>
          <w:tcPr>
            <w:tcW w:w="2556" w:type="dxa"/>
            <w:shd w:val="clear" w:color="auto" w:fill="F47A20"/>
            <w:tcMar>
              <w:top w:w="90" w:type="dxa"/>
              <w:start w:w="110" w:type="dxa"/>
              <w:bottom w:w="90" w:type="dxa"/>
              <w:end w:w="110" w:type="dxa"/>
            </w:tcMar>
          </w:tcPr>
          <w:p w14:paraId="4995D652" w14:textId="77777777" w:rsidR="005C5CB8" w:rsidRDefault="001B339E">
            <w:r>
              <w:rPr>
                <w:b/>
                <w:color w:val="FFFFFF"/>
                <w:sz w:val="19"/>
              </w:rPr>
              <w:t>Summary of Changes</w:t>
            </w:r>
          </w:p>
        </w:tc>
      </w:tr>
      <w:tr w:rsidR="005C5CB8" w14:paraId="143BFC46" w14:textId="77777777">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3C0AC6F5" w14:textId="77777777" w:rsidR="005C5CB8" w:rsidRDefault="001B339E">
            <w:pPr>
              <w:pStyle w:val="CardText"/>
            </w:pPr>
            <w:r>
              <w:t>August 18, 2026</w:t>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047F7568" w14:textId="77777777" w:rsidR="005C5CB8" w:rsidRDefault="001B339E">
            <w:pPr>
              <w:pStyle w:val="CardText"/>
            </w:pPr>
            <w:r>
              <w:t>v1.0</w:t>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8C7C670" w14:textId="77777777" w:rsidR="005C5CB8" w:rsidRDefault="001B339E">
            <w:pPr>
              <w:pStyle w:val="CardText"/>
            </w:pPr>
            <w:r>
              <w:t>Goodwin Gets IT</w:t>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3147E3F" w14:textId="77777777" w:rsidR="005C5CB8" w:rsidRDefault="001B339E">
            <w:pPr>
              <w:pStyle w:val="CardText"/>
            </w:pPr>
            <w:r>
              <w:t>Initial release of the assessment discovery and evidence guide.</w:t>
            </w:r>
          </w:p>
        </w:tc>
      </w:tr>
      <w:tr w:rsidR="005C5CB8" w14:paraId="189EAFBF" w14:textId="77777777">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C49C48C"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50614C4"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55757E1"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2D320D1" w14:textId="77777777" w:rsidR="005C5CB8" w:rsidRDefault="001B339E">
            <w:pPr>
              <w:pStyle w:val="CardText"/>
            </w:pPr>
            <w:r/>
          </w:p>
        </w:tc>
      </w:tr>
      <w:tr w:rsidR="005C5CB8" w14:paraId="43D4CA73" w14:textId="77777777">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1AC8E03F"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74F8AA9"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31872A98"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2979E1B6" w14:textId="77777777" w:rsidR="005C5CB8" w:rsidRDefault="001B339E">
            <w:pPr>
              <w:pStyle w:val="CardText"/>
            </w:pPr>
            <w:r/>
          </w:p>
        </w:tc>
      </w:tr>
      <w:tr w:rsidR="005C5CB8" w14:paraId="048EC1CE" w14:textId="77777777">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567749E"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7CF1BF3D"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6142924D" w14:textId="77777777" w:rsidR="005C5CB8" w:rsidRDefault="001B339E">
            <w:pPr>
              <w:pStyle w:val="CardText"/>
            </w:pPr>
            <w:r/>
          </w:p>
        </w:tc>
        <w:tc>
          <w:tcPr>
            <w:tcW w:w="2556" w:type="dxa"/>
            <w:tcBorders>
              <w:top w:val="single" w:sz="8" w:space="0" w:color="E6EAF2"/>
              <w:left w:val="single" w:sz="8" w:space="0" w:color="E6EAF2"/>
              <w:bottom w:val="single" w:sz="8" w:space="0" w:color="E6EAF2"/>
              <w:right w:val="single" w:sz="8" w:space="0" w:color="E6EAF2"/>
            </w:tcBorders>
            <w:tcMar>
              <w:top w:w="90" w:type="dxa"/>
              <w:start w:w="110" w:type="dxa"/>
              <w:bottom w:w="90" w:type="dxa"/>
              <w:end w:w="110" w:type="dxa"/>
            </w:tcMar>
          </w:tcPr>
          <w:p w14:paraId="51F379A6" w14:textId="77777777" w:rsidR="005C5CB8" w:rsidRDefault="001B339E">
            <w:pPr>
              <w:pStyle w:val="CardText"/>
            </w:pPr>
            <w:r/>
          </w:p>
        </w:tc>
      </w:tr>
    </w:tbl>
    <w:p w14:paraId="73ADAFE9" w14:textId="77777777" w:rsidR="001B339E" w:rsidRDefault="001B339E"/>
    <w:p>
      <w:r>
        <w:br w:type="page"/>
      </w:r>
    </w:p>
    <w:p>
      <w:pPr>
        <w:pStyle w:val="Heading1"/>
      </w:pPr>
      <w:r>
        <w:t>Discovery Questions by Domain</w:t>
      </w:r>
    </w:p>
    <w:p>
      <w:pPr>
        <w:pStyle w:val="CardText"/>
      </w:pPr>
      <w:r>
        <w:t>Use these questions during interviews and working sessions. The goal is not to collect quick yes/no answers; it is to identify what should be validated with evidence in the assessment workbook.</w:t>
      </w:r>
    </w:p>
    <w:p>
      <w:pPr>
        <w:pStyle w:val="Heading2"/>
      </w:pPr>
      <w:r>
        <w:t>Identity &amp; Access</w:t>
      </w:r>
    </w:p>
    <w:p>
      <w:pPr>
        <w:pStyle w:val="CardText"/>
        <w:ind w:left="259" w:hanging="173"/>
      </w:pPr>
      <w:r>
        <w:rPr>
          <w:sz w:val="21"/>
        </w:rPr>
        <w:t>• Who has administrative access, and is privileged access separated from normal user activity?</w:t>
      </w:r>
    </w:p>
    <w:p>
      <w:pPr>
        <w:pStyle w:val="CardText"/>
        <w:ind w:left="259" w:hanging="173"/>
      </w:pPr>
      <w:r>
        <w:rPr>
          <w:sz w:val="21"/>
        </w:rPr>
        <w:t>• How are employees, contractors, and vendors provisioned, changed, and removed?</w:t>
      </w:r>
    </w:p>
    <w:p>
      <w:pPr>
        <w:pStyle w:val="CardText"/>
        <w:ind w:left="259" w:hanging="173"/>
      </w:pPr>
      <w:r>
        <w:rPr>
          <w:sz w:val="21"/>
        </w:rPr>
        <w:t>• Which service or shared accounts exist, who owns them, and how are credentials protected?</w:t>
      </w:r>
    </w:p>
    <w:p>
      <w:pPr>
        <w:pStyle w:val="CardText"/>
        <w:ind w:left="259" w:hanging="173"/>
      </w:pPr>
      <w:r>
        <w:rPr>
          <w:sz w:val="21"/>
        </w:rPr>
        <w:t>• How often are privileged memberships and sensitive application access reviewed?</w:t>
      </w:r>
    </w:p>
    <w:p>
      <w:pPr>
        <w:pStyle w:val="CardText"/>
        <w:ind w:left="259" w:hanging="173"/>
      </w:pPr>
      <w:r>
        <w:rPr>
          <w:sz w:val="21"/>
        </w:rPr>
        <w:t>• Where does access depend on one person knowing an undocumented password or process?</w:t>
      </w:r>
    </w:p>
    <w:p>
      <w:pPr>
        <w:pStyle w:val="Heading2"/>
      </w:pPr>
      <w:r>
        <w:t>Backup &amp; Recovery</w:t>
      </w:r>
    </w:p>
    <w:p>
      <w:pPr>
        <w:pStyle w:val="CardText"/>
        <w:ind w:left="259" w:hanging="173"/>
      </w:pPr>
      <w:r>
        <w:rPr>
          <w:sz w:val="21"/>
        </w:rPr>
        <w:t>• What is backed up, what is not, and how is successful backup coverage verified?</w:t>
      </w:r>
    </w:p>
    <w:p>
      <w:pPr>
        <w:pStyle w:val="CardText"/>
        <w:ind w:left="259" w:hanging="173"/>
      </w:pPr>
      <w:r>
        <w:rPr>
          <w:sz w:val="21"/>
        </w:rPr>
        <w:t>• When was the last real restore test, what was restored, and how long did it take?</w:t>
      </w:r>
    </w:p>
    <w:p>
      <w:pPr>
        <w:pStyle w:val="CardText"/>
        <w:ind w:left="259" w:hanging="173"/>
      </w:pPr>
      <w:r>
        <w:rPr>
          <w:sz w:val="21"/>
        </w:rPr>
        <w:t>• Can production administrators delete or encrypt every backup copy?</w:t>
      </w:r>
    </w:p>
    <w:p>
      <w:pPr>
        <w:pStyle w:val="CardText"/>
        <w:ind w:left="259" w:hanging="173"/>
      </w:pPr>
      <w:r>
        <w:rPr>
          <w:sz w:val="21"/>
        </w:rPr>
        <w:t>• Who responds when a backup fails, and is that responsibility documented?</w:t>
      </w:r>
    </w:p>
    <w:p>
      <w:pPr>
        <w:pStyle w:val="CardText"/>
        <w:ind w:left="259" w:hanging="173"/>
      </w:pPr>
      <w:r>
        <w:rPr>
          <w:sz w:val="21"/>
        </w:rPr>
        <w:t>• Are infrastructure configurations and critical SaaS data included in recovery planning?</w:t>
      </w:r>
    </w:p>
    <w:p>
      <w:pPr>
        <w:pStyle w:val="Heading2"/>
      </w:pPr>
      <w:r>
        <w:t>Patching &amp; Vulnerabilities</w:t>
      </w:r>
    </w:p>
    <w:p>
      <w:pPr>
        <w:pStyle w:val="CardText"/>
        <w:ind w:left="259" w:hanging="173"/>
      </w:pPr>
      <w:r>
        <w:rPr>
          <w:sz w:val="21"/>
        </w:rPr>
        <w:t>• What is the patch cadence for endpoints, servers, network devices, and third-party applications?</w:t>
      </w:r>
    </w:p>
    <w:p>
      <w:pPr>
        <w:pStyle w:val="CardText"/>
        <w:ind w:left="259" w:hanging="173"/>
      </w:pPr>
      <w:r>
        <w:rPr>
          <w:sz w:val="21"/>
        </w:rPr>
        <w:t>• Which critical or exploitable vulnerabilities are open today, and who owns remediation?</w:t>
      </w:r>
    </w:p>
    <w:p>
      <w:pPr>
        <w:pStyle w:val="CardText"/>
        <w:ind w:left="259" w:hanging="173"/>
      </w:pPr>
      <w:r>
        <w:rPr>
          <w:sz w:val="21"/>
        </w:rPr>
        <w:t>• How are exceptions approved, documented, and expired?</w:t>
      </w:r>
    </w:p>
    <w:p>
      <w:pPr>
        <w:pStyle w:val="CardText"/>
        <w:ind w:left="259" w:hanging="173"/>
      </w:pPr>
      <w:r>
        <w:rPr>
          <w:sz w:val="21"/>
        </w:rPr>
        <w:t>• Do compliance dashboards include devices that are offline, unmanaged, or not reporting?</w:t>
      </w:r>
    </w:p>
    <w:p>
      <w:pPr>
        <w:pStyle w:val="CardText"/>
        <w:ind w:left="259" w:hanging="173"/>
      </w:pPr>
      <w:r>
        <w:rPr>
          <w:sz w:val="21"/>
        </w:rPr>
        <w:t>• Are unsupported operating systems, firmware, and applications tracked as lifecycle risk?</w:t>
      </w:r>
    </w:p>
    <w:p>
      <w:pPr>
        <w:pStyle w:val="Heading2"/>
      </w:pPr>
      <w:r>
        <w:t>Network &amp; Infrastructure</w:t>
      </w:r>
    </w:p>
    <w:p>
      <w:pPr>
        <w:pStyle w:val="CardText"/>
        <w:ind w:left="259" w:hanging="173"/>
      </w:pPr>
      <w:r>
        <w:rPr>
          <w:sz w:val="21"/>
        </w:rPr>
        <w:t>• Does the current network diagram match what is actually deployed?</w:t>
      </w:r>
    </w:p>
    <w:p>
      <w:pPr>
        <w:pStyle w:val="CardText"/>
        <w:ind w:left="259" w:hanging="173"/>
      </w:pPr>
      <w:r>
        <w:rPr>
          <w:sz w:val="21"/>
        </w:rPr>
        <w:t>• Where are the single points of failure across internet, firewalls, switching, storage, virtualization, and power?</w:t>
      </w:r>
    </w:p>
    <w:p>
      <w:pPr>
        <w:pStyle w:val="CardText"/>
        <w:ind w:left="259" w:hanging="173"/>
      </w:pPr>
      <w:r>
        <w:rPr>
          <w:sz w:val="21"/>
        </w:rPr>
        <w:t>• Are firewall rules, remote access, exposed services, and management interfaces intentionally restricted?</w:t>
      </w:r>
    </w:p>
    <w:p>
      <w:pPr>
        <w:pStyle w:val="CardText"/>
        <w:ind w:left="259" w:hanging="173"/>
      </w:pPr>
      <w:r>
        <w:rPr>
          <w:sz w:val="21"/>
        </w:rPr>
        <w:t>• Are VLANs, routing, DNS, DHCP, IP addressing, and major dependencies documented?</w:t>
      </w:r>
    </w:p>
    <w:p>
      <w:pPr>
        <w:pStyle w:val="CardText"/>
        <w:ind w:left="259" w:hanging="173"/>
      </w:pPr>
      <w:r>
        <w:rPr>
          <w:sz w:val="21"/>
        </w:rPr>
        <w:t>• Is monitoring capable of detecting availability, capacity, and hardware-health problems before users report them?</w:t>
      </w:r>
    </w:p>
    <w:p>
      <w:pPr>
        <w:pStyle w:val="Heading2"/>
      </w:pPr>
      <w:r>
        <w:t>MFA &amp; Security</w:t>
      </w:r>
    </w:p>
    <w:p>
      <w:pPr>
        <w:pStyle w:val="CardText"/>
        <w:ind w:left="259" w:hanging="173"/>
      </w:pPr>
      <w:r>
        <w:rPr>
          <w:sz w:val="21"/>
        </w:rPr>
        <w:t>• Where is MFA enforced, and where are bypasses, legacy authentication, or exceptions still present?</w:t>
      </w:r>
    </w:p>
    <w:p>
      <w:pPr>
        <w:pStyle w:val="CardText"/>
        <w:ind w:left="259" w:hanging="173"/>
      </w:pPr>
      <w:r>
        <w:rPr>
          <w:sz w:val="21"/>
        </w:rPr>
        <w:t>• Is endpoint security deployed and healthy across the expected device population?</w:t>
      </w:r>
    </w:p>
    <w:p>
      <w:pPr>
        <w:pStyle w:val="CardText"/>
        <w:ind w:left="259" w:hanging="173"/>
      </w:pPr>
      <w:r>
        <w:rPr>
          <w:sz w:val="21"/>
        </w:rPr>
        <w:t>• Are email security controls configured and monitored for phishing, spoofing, links, and attachments?</w:t>
      </w:r>
    </w:p>
    <w:p>
      <w:pPr>
        <w:pStyle w:val="CardText"/>
        <w:ind w:left="259" w:hanging="173"/>
      </w:pPr>
      <w:r>
        <w:rPr>
          <w:sz w:val="21"/>
        </w:rPr>
        <w:t>• Are security logs retained and centralized enough to investigate a meaningful incident?</w:t>
      </w:r>
    </w:p>
    <w:p>
      <w:pPr>
        <w:pStyle w:val="CardText"/>
        <w:ind w:left="259" w:hanging="173"/>
      </w:pPr>
      <w:r>
        <w:rPr>
          <w:sz w:val="21"/>
        </w:rPr>
        <w:t>• Are exceptions reviewed so temporary workarounds do not quietly become permanent controls?</w:t>
      </w:r>
    </w:p>
    <w:p>
      <w:pPr>
        <w:pStyle w:val="Heading2"/>
      </w:pPr>
      <w:r>
        <w:t>Documentation</w:t>
      </w:r>
    </w:p>
    <w:p>
      <w:pPr>
        <w:pStyle w:val="CardText"/>
        <w:ind w:left="259" w:hanging="173"/>
      </w:pPr>
      <w:r>
        <w:rPr>
          <w:sz w:val="21"/>
        </w:rPr>
        <w:t>• Could another qualified administrator operate the environment if the primary administrator disappeared tomorrow?</w:t>
      </w:r>
    </w:p>
    <w:p>
      <w:pPr>
        <w:pStyle w:val="CardText"/>
        <w:ind w:left="259" w:hanging="173"/>
      </w:pPr>
      <w:r>
        <w:rPr>
          <w:sz w:val="21"/>
        </w:rPr>
        <w:t>• Are diagrams, runbooks, inventories, dependencies, recovery steps, and vendor contacts easy to find?</w:t>
      </w:r>
    </w:p>
    <w:p>
      <w:pPr>
        <w:pStyle w:val="CardText"/>
        <w:ind w:left="259" w:hanging="173"/>
      </w:pPr>
      <w:r>
        <w:rPr>
          <w:sz w:val="21"/>
        </w:rPr>
        <w:t>• Can someone other than the author successfully follow the SOPs?</w:t>
      </w:r>
    </w:p>
    <w:p>
      <w:pPr>
        <w:pStyle w:val="CardText"/>
        <w:ind w:left="259" w:hanging="173"/>
      </w:pPr>
      <w:r>
        <w:rPr>
          <w:sz w:val="21"/>
        </w:rPr>
        <w:t>• Who owns each critical document and how often is it reviewed?</w:t>
      </w:r>
    </w:p>
    <w:p>
      <w:pPr>
        <w:pStyle w:val="CardText"/>
        <w:ind w:left="259" w:hanging="173"/>
      </w:pPr>
      <w:r>
        <w:rPr>
          <w:sz w:val="21"/>
        </w:rPr>
        <w:t>• Which systems still depend on “ask Dave” knowledge?</w:t>
      </w:r>
    </w:p>
    <w:p>
      <w:pPr>
        <w:pStyle w:val="Heading2"/>
      </w:pPr>
      <w:r>
        <w:t>Licensing &amp; Spend</w:t>
      </w:r>
    </w:p>
    <w:p>
      <w:pPr>
        <w:pStyle w:val="CardText"/>
        <w:ind w:left="259" w:hanging="173"/>
      </w:pPr>
      <w:r>
        <w:rPr>
          <w:sz w:val="21"/>
        </w:rPr>
        <w:t>• What are we paying for, how many licenses are assigned, and how many are actually used?</w:t>
      </w:r>
    </w:p>
    <w:p>
      <w:pPr>
        <w:pStyle w:val="CardText"/>
        <w:ind w:left="259" w:hanging="173"/>
      </w:pPr>
      <w:r>
        <w:rPr>
          <w:sz w:val="21"/>
        </w:rPr>
        <w:t>• Where do products or services overlap in capability?</w:t>
      </w:r>
    </w:p>
    <w:p>
      <w:pPr>
        <w:pStyle w:val="CardText"/>
        <w:ind w:left="259" w:hanging="173"/>
      </w:pPr>
      <w:r>
        <w:rPr>
          <w:sz w:val="21"/>
        </w:rPr>
        <w:t>• What renews within the next 90 to 180 days?</w:t>
      </w:r>
    </w:p>
    <w:p>
      <w:pPr>
        <w:pStyle w:val="CardText"/>
        <w:ind w:left="259" w:hanging="173"/>
      </w:pPr>
      <w:r>
        <w:rPr>
          <w:sz w:val="21"/>
        </w:rPr>
        <w:t>• Who owns contract approvals, cancellation windows, and renewal decisions?</w:t>
      </w:r>
    </w:p>
    <w:p>
      <w:pPr>
        <w:pStyle w:val="CardText"/>
        <w:ind w:left="259" w:hanging="173"/>
      </w:pPr>
      <w:r>
        <w:rPr>
          <w:sz w:val="21"/>
        </w:rPr>
        <w:t>• Are legacy subscriptions, inactive users, or unused licenses still generating cost?</w:t>
      </w:r>
    </w:p>
    <w:p>
      <w:pPr>
        <w:pStyle w:val="Heading2"/>
      </w:pPr>
      <w:r>
        <w:t>Disaster Recovery</w:t>
      </w:r>
    </w:p>
    <w:p>
      <w:pPr>
        <w:pStyle w:val="CardText"/>
        <w:ind w:left="259" w:hanging="173"/>
      </w:pPr>
      <w:r>
        <w:rPr>
          <w:sz w:val="21"/>
        </w:rPr>
        <w:t>• Which services get restored first, and who has authority to make that decision?</w:t>
      </w:r>
    </w:p>
    <w:p>
      <w:pPr>
        <w:pStyle w:val="CardText"/>
        <w:ind w:left="259" w:hanging="173"/>
      </w:pPr>
      <w:r>
        <w:rPr>
          <w:sz w:val="21"/>
        </w:rPr>
        <w:t>• Are RTO and RPO expectations documented for business-critical systems?</w:t>
      </w:r>
    </w:p>
    <w:p>
      <w:pPr>
        <w:pStyle w:val="CardText"/>
        <w:ind w:left="259" w:hanging="173"/>
      </w:pPr>
      <w:r>
        <w:rPr>
          <w:sz w:val="21"/>
        </w:rPr>
        <w:t>• Has the plan been tested through a tabletop, failover, or recovery exercise?</w:t>
      </w:r>
    </w:p>
    <w:p>
      <w:pPr>
        <w:pStyle w:val="CardText"/>
        <w:ind w:left="259" w:hanging="173"/>
      </w:pPr>
      <w:r>
        <w:rPr>
          <w:sz w:val="21"/>
        </w:rPr>
        <w:t>• Does the plan account for loss of identity, internet, email, collaboration, storage, and key vendors?</w:t>
      </w:r>
    </w:p>
    <w:p>
      <w:pPr>
        <w:pStyle w:val="CardText"/>
        <w:ind w:left="259" w:hanging="173"/>
      </w:pPr>
      <w:r>
        <w:rPr>
          <w:sz w:val="21"/>
        </w:rPr>
        <w:t>• How are lessons from incidents and exercises converted into owned remediation work?</w:t>
      </w:r>
    </w:p>
    <w:p>
      <w:pPr>
        <w:pStyle w:val="Heading2"/>
      </w:pPr>
      <w:r>
        <w:t>Vendors &amp; MSPs</w:t>
      </w:r>
    </w:p>
    <w:p>
      <w:pPr>
        <w:pStyle w:val="CardText"/>
        <w:ind w:left="259" w:hanging="173"/>
      </w:pPr>
      <w:r>
        <w:rPr>
          <w:sz w:val="21"/>
        </w:rPr>
        <w:t>• Who owns each responsibility: internal IT, the MSP, the SaaS vendor, or another provider?</w:t>
      </w:r>
    </w:p>
    <w:p>
      <w:pPr>
        <w:pStyle w:val="CardText"/>
        <w:ind w:left="259" w:hanging="173"/>
      </w:pPr>
      <w:r>
        <w:rPr>
          <w:sz w:val="21"/>
        </w:rPr>
        <w:t>• Do all parties agree on the responsibility split and escalation path?</w:t>
      </w:r>
    </w:p>
    <w:p>
      <w:pPr>
        <w:pStyle w:val="CardText"/>
        <w:ind w:left="259" w:hanging="173"/>
      </w:pPr>
      <w:r>
        <w:rPr>
          <w:sz w:val="21"/>
        </w:rPr>
        <w:t>• Which vendors have administrative or remote access, and is it least-privileged and MFA-protected?</w:t>
      </w:r>
    </w:p>
    <w:p>
      <w:pPr>
        <w:pStyle w:val="CardText"/>
        <w:ind w:left="259" w:hanging="173"/>
      </w:pPr>
      <w:r>
        <w:rPr>
          <w:sz w:val="21"/>
        </w:rPr>
        <w:t>• Are contracts, SLAs, renewal dates, and support details current and accessible?</w:t>
      </w:r>
    </w:p>
    <w:p>
      <w:pPr>
        <w:pStyle w:val="CardText"/>
        <w:ind w:left="259" w:hanging="173"/>
      </w:pPr>
      <w:r>
        <w:rPr>
          <w:sz w:val="21"/>
        </w:rPr>
        <w:t>• Where could a third-party dependency become a single point of operational failure?</w:t>
      </w:r>
    </w:p>
    <w:p>
      <w:r>
        <w:br w:type="page"/>
      </w:r>
    </w:p>
    <w:p>
      <w:pPr>
        <w:pStyle w:val="Heading1"/>
      </w:pPr>
      <w:r>
        <w:t>Examples of Useful Evidence</w:t>
      </w:r>
    </w:p>
    <w:p>
      <w:pPr>
        <w:pStyle w:val="CardText"/>
      </w:pPr>
      <w:r>
        <w:t>Evidence should be appropriate to the environment and handled securely. The examples below are intended to make validation concrete without prescribing a specific vendor or platform.</w:t>
      </w:r>
    </w:p>
    <w:tbl>
      <w:tblPr>
        <w:tblStyle w:val="TableGrid"/>
        <w:tblW w:type="auto" w:w="0"/>
        <w:jc w:val="center"/>
        <w:tblLook w:firstColumn="1" w:firstRow="1" w:lastColumn="0" w:lastRow="0" w:noHBand="0" w:noVBand="1" w:val="04A0"/>
      </w:tblPr>
      <w:tblGrid>
        <w:gridCol w:w="2448"/>
        <w:gridCol w:w="7776"/>
      </w:tblGrid>
      <w:tr>
        <w:tc>
          <w:tcPr>
            <w:tcW w:type="dxa" w:w="5112"/>
            <w:vAlign w:val="center"/>
            <w:tcMar>
              <w:top w:w="80" w:type="dxa"/>
              <w:start w:w="110" w:type="dxa"/>
              <w:bottom w:w="80" w:type="dxa"/>
              <w:end w:w="110" w:type="dxa"/>
            </w:tcMar>
            <w:shd w:fill="0B2C67"/>
          </w:tcPr>
          <w:p>
            <w:r>
              <w:rPr>
                <w:b/>
                <w:color w:val="FFFFFF"/>
                <w:sz w:val="18"/>
              </w:rPr>
              <w:t>Area</w:t>
            </w:r>
          </w:p>
        </w:tc>
        <w:tc>
          <w:tcPr>
            <w:tcW w:type="dxa" w:w="5112"/>
            <w:vAlign w:val="center"/>
            <w:tcMar>
              <w:top w:w="80" w:type="dxa"/>
              <w:start w:w="110" w:type="dxa"/>
              <w:bottom w:w="80" w:type="dxa"/>
              <w:end w:w="110" w:type="dxa"/>
            </w:tcMar>
            <w:shd w:fill="0B2C67"/>
          </w:tcPr>
          <w:p>
            <w:r>
              <w:rPr>
                <w:b/>
                <w:color w:val="FFFFFF"/>
                <w:sz w:val="18"/>
              </w:rPr>
              <w:t>Examples of Evidence</w:t>
            </w:r>
          </w:p>
        </w:tc>
      </w:tr>
      <w:tr>
        <w:tc>
          <w:tcPr>
            <w:tcW w:type="dxa" w:w="5112"/>
            <w:vAlign w:val="center"/>
            <w:tcMar>
              <w:top w:w="90" w:type="dxa"/>
              <w:start w:w="110" w:type="dxa"/>
              <w:bottom w:w="90" w:type="dxa"/>
              <w:end w:w="110" w:type="dxa"/>
            </w:tcMar>
          </w:tcPr>
          <w:p>
            <w:pPr>
              <w:pStyle w:val="CardText"/>
            </w:pPr>
            <w:r>
              <w:rPr>
                <w:sz w:val="18"/>
              </w:rPr>
              <w:t>Identity &amp; Access</w:t>
            </w:r>
          </w:p>
        </w:tc>
        <w:tc>
          <w:tcPr>
            <w:tcW w:type="dxa" w:w="5112"/>
            <w:vAlign w:val="center"/>
            <w:tcMar>
              <w:top w:w="90" w:type="dxa"/>
              <w:start w:w="110" w:type="dxa"/>
              <w:bottom w:w="90" w:type="dxa"/>
              <w:end w:w="110" w:type="dxa"/>
            </w:tcMar>
          </w:tcPr>
          <w:p>
            <w:pPr>
              <w:pStyle w:val="CardText"/>
            </w:pPr>
            <w:r>
              <w:rPr>
                <w:sz w:val="18"/>
              </w:rPr>
              <w:t>Privileged group export; administrator account inventory; service account list; offboarding checklist; access review record</w:t>
            </w:r>
          </w:p>
        </w:tc>
      </w:tr>
      <w:tr>
        <w:tc>
          <w:tcPr>
            <w:tcW w:type="dxa" w:w="5112"/>
            <w:vAlign w:val="center"/>
            <w:tcMar>
              <w:top w:w="90" w:type="dxa"/>
              <w:start w:w="110" w:type="dxa"/>
              <w:bottom w:w="90" w:type="dxa"/>
              <w:end w:w="110" w:type="dxa"/>
            </w:tcMar>
          </w:tcPr>
          <w:p>
            <w:pPr>
              <w:pStyle w:val="CardText"/>
            </w:pPr>
            <w:r>
              <w:rPr>
                <w:sz w:val="18"/>
              </w:rPr>
              <w:t>Backup &amp; Recovery</w:t>
            </w:r>
          </w:p>
        </w:tc>
        <w:tc>
          <w:tcPr>
            <w:tcW w:type="dxa" w:w="5112"/>
            <w:vAlign w:val="center"/>
            <w:tcMar>
              <w:top w:w="90" w:type="dxa"/>
              <w:start w:w="110" w:type="dxa"/>
              <w:bottom w:w="90" w:type="dxa"/>
              <w:end w:w="110" w:type="dxa"/>
            </w:tcMar>
          </w:tcPr>
          <w:p>
            <w:pPr>
              <w:pStyle w:val="CardText"/>
            </w:pPr>
            <w:r>
              <w:rPr>
                <w:sz w:val="18"/>
              </w:rPr>
              <w:t>Backup job report; restore-test result; retention settings; immutable/offline copy configuration; recovery runbook</w:t>
            </w:r>
          </w:p>
        </w:tc>
      </w:tr>
      <w:tr>
        <w:tc>
          <w:tcPr>
            <w:tcW w:type="dxa" w:w="5112"/>
            <w:vAlign w:val="center"/>
            <w:tcMar>
              <w:top w:w="90" w:type="dxa"/>
              <w:start w:w="110" w:type="dxa"/>
              <w:bottom w:w="90" w:type="dxa"/>
              <w:end w:w="110" w:type="dxa"/>
            </w:tcMar>
          </w:tcPr>
          <w:p>
            <w:pPr>
              <w:pStyle w:val="CardText"/>
            </w:pPr>
            <w:r>
              <w:rPr>
                <w:sz w:val="18"/>
              </w:rPr>
              <w:t>Patching &amp; Vulnerabilities</w:t>
            </w:r>
          </w:p>
        </w:tc>
        <w:tc>
          <w:tcPr>
            <w:tcW w:type="dxa" w:w="5112"/>
            <w:vAlign w:val="center"/>
            <w:tcMar>
              <w:top w:w="90" w:type="dxa"/>
              <w:start w:w="110" w:type="dxa"/>
              <w:bottom w:w="90" w:type="dxa"/>
              <w:end w:w="110" w:type="dxa"/>
            </w:tcMar>
          </w:tcPr>
          <w:p>
            <w:pPr>
              <w:pStyle w:val="CardText"/>
            </w:pPr>
            <w:r>
              <w:rPr>
                <w:sz w:val="18"/>
              </w:rPr>
              <w:t>Patch compliance report; vulnerability export; exception register; unsupported asset list; remediation ownership matrix</w:t>
            </w:r>
          </w:p>
        </w:tc>
      </w:tr>
      <w:tr>
        <w:tc>
          <w:tcPr>
            <w:tcW w:type="dxa" w:w="5112"/>
            <w:vAlign w:val="center"/>
            <w:tcMar>
              <w:top w:w="90" w:type="dxa"/>
              <w:start w:w="110" w:type="dxa"/>
              <w:bottom w:w="90" w:type="dxa"/>
              <w:end w:w="110" w:type="dxa"/>
            </w:tcMar>
          </w:tcPr>
          <w:p>
            <w:pPr>
              <w:pStyle w:val="CardText"/>
            </w:pPr>
            <w:r>
              <w:rPr>
                <w:sz w:val="18"/>
              </w:rPr>
              <w:t>Network &amp; Infrastructure</w:t>
            </w:r>
          </w:p>
        </w:tc>
        <w:tc>
          <w:tcPr>
            <w:tcW w:type="dxa" w:w="5112"/>
            <w:vAlign w:val="center"/>
            <w:tcMar>
              <w:top w:w="90" w:type="dxa"/>
              <w:start w:w="110" w:type="dxa"/>
              <w:bottom w:w="90" w:type="dxa"/>
              <w:end w:w="110" w:type="dxa"/>
            </w:tcMar>
          </w:tcPr>
          <w:p>
            <w:pPr>
              <w:pStyle w:val="CardText"/>
            </w:pPr>
            <w:r>
              <w:rPr>
                <w:sz w:val="18"/>
              </w:rPr>
              <w:t>Current diagram; firewall rule review; asset inventory; firmware/lifecycle report; monitoring alert examples</w:t>
            </w:r>
          </w:p>
        </w:tc>
      </w:tr>
      <w:tr>
        <w:tc>
          <w:tcPr>
            <w:tcW w:type="dxa" w:w="5112"/>
            <w:vAlign w:val="center"/>
            <w:tcMar>
              <w:top w:w="90" w:type="dxa"/>
              <w:start w:w="110" w:type="dxa"/>
              <w:bottom w:w="90" w:type="dxa"/>
              <w:end w:w="110" w:type="dxa"/>
            </w:tcMar>
          </w:tcPr>
          <w:p>
            <w:pPr>
              <w:pStyle w:val="CardText"/>
            </w:pPr>
            <w:r>
              <w:rPr>
                <w:sz w:val="18"/>
              </w:rPr>
              <w:t>MFA &amp; Security</w:t>
            </w:r>
          </w:p>
        </w:tc>
        <w:tc>
          <w:tcPr>
            <w:tcW w:type="dxa" w:w="5112"/>
            <w:vAlign w:val="center"/>
            <w:tcMar>
              <w:top w:w="90" w:type="dxa"/>
              <w:start w:w="110" w:type="dxa"/>
              <w:bottom w:w="90" w:type="dxa"/>
              <w:end w:w="110" w:type="dxa"/>
            </w:tcMar>
          </w:tcPr>
          <w:p>
            <w:pPr>
              <w:pStyle w:val="CardText"/>
            </w:pPr>
            <w:r>
              <w:rPr>
                <w:sz w:val="18"/>
              </w:rPr>
              <w:t>MFA / conditional access configuration; endpoint protection coverage; email security settings; SIEM/log retention evidence; exception register</w:t>
            </w:r>
          </w:p>
        </w:tc>
      </w:tr>
      <w:tr>
        <w:tc>
          <w:tcPr>
            <w:tcW w:type="dxa" w:w="5112"/>
            <w:vAlign w:val="center"/>
            <w:tcMar>
              <w:top w:w="90" w:type="dxa"/>
              <w:start w:w="110" w:type="dxa"/>
              <w:bottom w:w="90" w:type="dxa"/>
              <w:end w:w="110" w:type="dxa"/>
            </w:tcMar>
          </w:tcPr>
          <w:p>
            <w:pPr>
              <w:pStyle w:val="CardText"/>
            </w:pPr>
            <w:r>
              <w:rPr>
                <w:sz w:val="18"/>
              </w:rPr>
              <w:t>Documentation</w:t>
            </w:r>
          </w:p>
        </w:tc>
        <w:tc>
          <w:tcPr>
            <w:tcW w:type="dxa" w:w="5112"/>
            <w:vAlign w:val="center"/>
            <w:tcMar>
              <w:top w:w="90" w:type="dxa"/>
              <w:start w:w="110" w:type="dxa"/>
              <w:bottom w:w="90" w:type="dxa"/>
              <w:end w:w="110" w:type="dxa"/>
            </w:tcMar>
          </w:tcPr>
          <w:p>
            <w:pPr>
              <w:pStyle w:val="CardText"/>
            </w:pPr>
            <w:r>
              <w:rPr>
                <w:sz w:val="18"/>
              </w:rPr>
              <w:t>Runbooks; system inventory; network diagrams; vendor contacts; SOP index; documentation review history</w:t>
            </w:r>
          </w:p>
        </w:tc>
      </w:tr>
      <w:tr>
        <w:tc>
          <w:tcPr>
            <w:tcW w:type="dxa" w:w="5112"/>
            <w:vAlign w:val="center"/>
            <w:tcMar>
              <w:top w:w="90" w:type="dxa"/>
              <w:start w:w="110" w:type="dxa"/>
              <w:bottom w:w="90" w:type="dxa"/>
              <w:end w:w="110" w:type="dxa"/>
            </w:tcMar>
          </w:tcPr>
          <w:p>
            <w:pPr>
              <w:pStyle w:val="CardText"/>
            </w:pPr>
            <w:r>
              <w:rPr>
                <w:sz w:val="18"/>
              </w:rPr>
              <w:t>Licensing &amp; Spend</w:t>
            </w:r>
          </w:p>
        </w:tc>
        <w:tc>
          <w:tcPr>
            <w:tcW w:type="dxa" w:w="5112"/>
            <w:vAlign w:val="center"/>
            <w:tcMar>
              <w:top w:w="90" w:type="dxa"/>
              <w:start w:w="110" w:type="dxa"/>
              <w:bottom w:w="90" w:type="dxa"/>
              <w:end w:w="110" w:type="dxa"/>
            </w:tcMar>
          </w:tcPr>
          <w:p>
            <w:pPr>
              <w:pStyle w:val="CardText"/>
            </w:pPr>
            <w:r>
              <w:rPr>
                <w:sz w:val="18"/>
              </w:rPr>
              <w:t>License assignment export; invoices; renewal calendar; contract list; utilization report</w:t>
            </w:r>
          </w:p>
        </w:tc>
      </w:tr>
      <w:tr>
        <w:tc>
          <w:tcPr>
            <w:tcW w:type="dxa" w:w="5112"/>
            <w:vAlign w:val="center"/>
            <w:tcMar>
              <w:top w:w="90" w:type="dxa"/>
              <w:start w:w="110" w:type="dxa"/>
              <w:bottom w:w="90" w:type="dxa"/>
              <w:end w:w="110" w:type="dxa"/>
            </w:tcMar>
          </w:tcPr>
          <w:p>
            <w:pPr>
              <w:pStyle w:val="CardText"/>
            </w:pPr>
            <w:r>
              <w:rPr>
                <w:sz w:val="18"/>
              </w:rPr>
              <w:t>Disaster Recovery</w:t>
            </w:r>
          </w:p>
        </w:tc>
        <w:tc>
          <w:tcPr>
            <w:tcW w:type="dxa" w:w="5112"/>
            <w:vAlign w:val="center"/>
            <w:tcMar>
              <w:top w:w="90" w:type="dxa"/>
              <w:start w:w="110" w:type="dxa"/>
              <w:bottom w:w="90" w:type="dxa"/>
              <w:end w:w="110" w:type="dxa"/>
            </w:tcMar>
          </w:tcPr>
          <w:p>
            <w:pPr>
              <w:pStyle w:val="CardText"/>
            </w:pPr>
            <w:r>
              <w:rPr>
                <w:sz w:val="18"/>
              </w:rPr>
              <w:t>DR plan; RTO/RPO list; tabletop record; failover test; crisis communication procedure</w:t>
            </w:r>
          </w:p>
        </w:tc>
      </w:tr>
      <w:tr>
        <w:tc>
          <w:tcPr>
            <w:tcW w:type="dxa" w:w="5112"/>
            <w:vAlign w:val="center"/>
            <w:tcMar>
              <w:top w:w="90" w:type="dxa"/>
              <w:start w:w="110" w:type="dxa"/>
              <w:bottom w:w="90" w:type="dxa"/>
              <w:end w:w="110" w:type="dxa"/>
            </w:tcMar>
          </w:tcPr>
          <w:p>
            <w:pPr>
              <w:pStyle w:val="CardText"/>
            </w:pPr>
            <w:r>
              <w:rPr>
                <w:sz w:val="18"/>
              </w:rPr>
              <w:t>Vendors &amp; MSPs</w:t>
            </w:r>
          </w:p>
        </w:tc>
        <w:tc>
          <w:tcPr>
            <w:tcW w:type="dxa" w:w="5112"/>
            <w:vAlign w:val="center"/>
            <w:tcMar>
              <w:top w:w="90" w:type="dxa"/>
              <w:start w:w="110" w:type="dxa"/>
              <w:bottom w:w="90" w:type="dxa"/>
              <w:end w:w="110" w:type="dxa"/>
            </w:tcMar>
          </w:tcPr>
          <w:p>
            <w:pPr>
              <w:pStyle w:val="CardText"/>
            </w:pPr>
            <w:r>
              <w:rPr>
                <w:sz w:val="18"/>
              </w:rPr>
              <w:t>Contracts/SOWs; responsibility matrix; vendor admin accounts; SLA/escalation details; renewal dates</w:t>
            </w:r>
          </w:p>
        </w:tc>
      </w:tr>
    </w:tbl>
    <w:sectPr w:rsidR="001B339E" w:rsidSect="00034616">
      <w:headerReference w:type="default" r:id="rId9"/>
      <w:footerReference w:type="default" r:id="rId10"/>
      <w:pgSz w:w="12240" w:h="15840"/>
      <w:pgMar w:top="864" w:right="1008" w:bottom="792" w:left="1008"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8B2B3" w14:textId="77777777" w:rsidR="001B339E" w:rsidRDefault="001B339E">
      <w:pPr>
        <w:spacing w:after="0" w:line="240" w:lineRule="auto"/>
      </w:pPr>
      <w:r>
        <w:separator/>
      </w:r>
    </w:p>
  </w:endnote>
  <w:endnote w:type="continuationSeparator" w:id="0">
    <w:p w14:paraId="1A0D3337" w14:textId="77777777" w:rsidR="001B339E" w:rsidRDefault="001B3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3B8A" w14:textId="77777777" w:rsidR="005C5CB8" w:rsidRDefault="001B339E">
    <w:pPr>
      <w:pStyle w:val="Footer"/>
      <w:jc w:val="center"/>
    </w:pPr>
    <w:r>
      <w:t>GoodwinGetsIT  •  IT Environment Assessment Resource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A7F6E" w14:textId="77777777" w:rsidR="001B339E" w:rsidRDefault="001B339E">
      <w:pPr>
        <w:spacing w:after="0" w:line="240" w:lineRule="auto"/>
      </w:pPr>
      <w:r>
        <w:separator/>
      </w:r>
    </w:p>
  </w:footnote>
  <w:footnote w:type="continuationSeparator" w:id="0">
    <w:p w14:paraId="5B96818E" w14:textId="77777777" w:rsidR="001B339E" w:rsidRDefault="001B3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7050" w14:textId="77777777" w:rsidR="005C5CB8" w:rsidRDefault="001B339E">
    <w:r>
      <w:rPr>
        <w:noProof/>
      </w:rPr>
      <w:drawing>
        <wp:inline distT="0" distB="0" distL="0" distR="0" wp14:anchorId="1A3CD295" wp14:editId="2A675C9F">
          <wp:extent cx="2011680" cy="293420"/>
          <wp:effectExtent l="0" t="0" r="0" b="0"/>
          <wp:docPr id="932797970" name="Picture 93279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winGetsIT_Logo_Transparent_Cropped.png"/>
                  <pic:cNvPicPr/>
                </pic:nvPicPr>
                <pic:blipFill>
                  <a:blip r:embed="rId1"/>
                  <a:stretch>
                    <a:fillRect/>
                  </a:stretch>
                </pic:blipFill>
                <pic:spPr>
                  <a:xfrm>
                    <a:off x="0" y="0"/>
                    <a:ext cx="2011680" cy="293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58718786">
    <w:abstractNumId w:val="8"/>
  </w:num>
  <w:num w:numId="2" w16cid:durableId="1972635432">
    <w:abstractNumId w:val="6"/>
  </w:num>
  <w:num w:numId="3" w16cid:durableId="248663675">
    <w:abstractNumId w:val="5"/>
  </w:num>
  <w:num w:numId="4" w16cid:durableId="1944918688">
    <w:abstractNumId w:val="4"/>
  </w:num>
  <w:num w:numId="5" w16cid:durableId="1291206214">
    <w:abstractNumId w:val="7"/>
  </w:num>
  <w:num w:numId="6" w16cid:durableId="484710893">
    <w:abstractNumId w:val="3"/>
  </w:num>
  <w:num w:numId="7" w16cid:durableId="538855143">
    <w:abstractNumId w:val="2"/>
  </w:num>
  <w:num w:numId="8" w16cid:durableId="1452019355">
    <w:abstractNumId w:val="1"/>
  </w:num>
  <w:num w:numId="9" w16cid:durableId="844978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339E"/>
    <w:rsid w:val="0029639D"/>
    <w:rsid w:val="00326F90"/>
    <w:rsid w:val="005C5CB8"/>
    <w:rsid w:val="00933FE0"/>
    <w:rsid w:val="00947EF0"/>
    <w:rsid w:val="009B2D0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46DC81"/>
  <w14:defaultImageDpi w14:val="300"/>
  <w15:docId w15:val="{13377BC0-956A-4839-A824-E45E0E0FE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203047"/>
      <w:sz w:val="21"/>
    </w:rPr>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b/>
      <w:bCs/>
      <w:color w:val="0B2C67"/>
      <w:sz w:val="4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0B2C67"/>
      <w:sz w:val="30"/>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F47A2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roTag">
    <w:name w:val="HeroTag"/>
    <w:pPr>
      <w:spacing w:after="80"/>
    </w:pPr>
    <w:rPr>
      <w:rFonts w:ascii="Aptos" w:hAnsi="Aptos"/>
      <w:b/>
      <w:color w:val="F47A20"/>
      <w:sz w:val="18"/>
    </w:rPr>
  </w:style>
  <w:style w:type="paragraph" w:customStyle="1" w:styleId="MetaLabel">
    <w:name w:val="MetaLabel"/>
    <w:pPr>
      <w:spacing w:after="20"/>
    </w:pPr>
    <w:rPr>
      <w:rFonts w:ascii="Aptos" w:hAnsi="Aptos"/>
      <w:b/>
      <w:color w:val="6B7280"/>
      <w:sz w:val="17"/>
    </w:rPr>
  </w:style>
  <w:style w:type="paragraph" w:customStyle="1" w:styleId="MetaValue">
    <w:name w:val="MetaValue"/>
    <w:pPr>
      <w:spacing w:after="0"/>
    </w:pPr>
    <w:rPr>
      <w:rFonts w:ascii="Aptos" w:hAnsi="Aptos"/>
      <w:b/>
      <w:color w:val="203047"/>
      <w:sz w:val="21"/>
    </w:rPr>
  </w:style>
  <w:style w:type="paragraph" w:customStyle="1" w:styleId="CardText">
    <w:name w:val="CardText"/>
    <w:pPr>
      <w:spacing w:after="60"/>
    </w:pPr>
    <w:rPr>
      <w:rFonts w:ascii="Aptos" w:hAnsi="Aptos"/>
      <w:color w:val="203047"/>
      <w:sz w:val="20"/>
    </w:rPr>
  </w:style>
  <w:style w:type="paragraph" w:customStyle="1" w:styleId="SmallMuted">
    <w:name w:val="SmallMuted"/>
    <w:rPr>
      <w:rFonts w:ascii="Aptos" w:hAnsi="Aptos"/>
      <w:color w:val="6B728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Cory Goodwin</cp:lastModifiedBy>
  <cp:revision>2</cp:revision>
  <dcterms:created xsi:type="dcterms:W3CDTF">2026-08-17T14:25:00Z</dcterms:created>
  <dcterms:modified xsi:type="dcterms:W3CDTF">2026-08-17T14:25:00Z</dcterms:modified>
  <cp:category/>
</cp:coreProperties>
</file>