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512"/>
      </w:tblGrid>
      <w:tr>
        <w:tc>
          <w:tcPr>
            <w:tcW w:type="dxa" w:w="10512"/>
            <w:shd w:fill="0B2239"/>
            <w:tcMar>
              <w:top w:w="560" w:type="dxa"/>
              <w:start w:w="280" w:type="dxa"/>
              <w:bottom w:w="540" w:type="dxa"/>
              <w:end w:w="280" w:type="dxa"/>
            </w:tcMar>
          </w:tcPr>
          <w:p>
            <w:r>
              <w:rPr>
                <w:rFonts w:ascii="Arial" w:hAnsi="Arial"/>
                <w:b/>
                <w:color w:val="F47A1F"/>
                <w:sz w:val="20"/>
              </w:rPr>
              <w:t>GOODWIN GETS IT</w:t>
            </w:r>
          </w:p>
          <w:p>
            <w:pPr>
              <w:spacing w:before="160"/>
            </w:pPr>
            <w:r>
              <w:rPr>
                <w:rFonts w:ascii="Arial" w:hAnsi="Arial"/>
                <w:b/>
                <w:color w:val="FFFFFF"/>
                <w:sz w:val="54"/>
              </w:rPr>
              <w:t>IT Contract, Service &amp; License</w:t>
              <w:br/>
              <w:t>Evaluation Checklist_</w:t>
            </w:r>
          </w:p>
          <w:p>
            <w:pPr>
              <w:spacing w:before="240"/>
            </w:pPr>
            <w:r>
              <w:rPr>
                <w:rFonts w:ascii="Arial" w:hAnsi="Arial"/>
                <w:color w:val="F7F1E7"/>
                <w:sz w:val="22"/>
              </w:rPr>
              <w:t>A practical review framework for technology contracts, recurring services, SaaS subscriptions, MSP agreements, support contracts, and software licensing.</w:t>
            </w:r>
          </w:p>
          <w:p>
            <w:pPr>
              <w:spacing w:before="360"/>
            </w:pPr>
            <w:r>
              <w:rPr>
                <w:rFonts w:ascii="Arial" w:hAnsi="Arial"/>
                <w:b/>
                <w:color w:val="F47A1F"/>
                <w:sz w:val="18"/>
              </w:rPr>
              <w:t>DAY 10 RESOURCE  •  IT COST OPTIMIZATION</w:t>
            </w:r>
          </w:p>
        </w:tc>
      </w:tr>
    </w:tbl>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EDF2F6"/>
            <w:tcMar>
              <w:top w:w="110" w:type="dxa"/>
              <w:start w:w="150" w:type="dxa"/>
              <w:bottom w:w="110" w:type="dxa"/>
              <w:end w:w="150" w:type="dxa"/>
            </w:tcMar>
          </w:tcPr>
          <w:p>
            <w:r>
              <w:rPr>
                <w:rFonts w:ascii="Arial" w:hAnsi="Arial"/>
                <w:b/>
                <w:color w:val="0B2239"/>
                <w:sz w:val="21"/>
              </w:rPr>
              <w:t>THE QUESTION TO KEEP ASKING</w:t>
            </w:r>
          </w:p>
          <w:p>
            <w:pPr>
              <w:spacing w:before="40"/>
            </w:pPr>
            <w:r>
              <w:rPr>
                <w:rFonts w:ascii="Arial" w:hAnsi="Arial"/>
                <w:color w:val="1E2A36"/>
                <w:sz w:val="19"/>
              </w:rPr>
              <w:t>Does this contract, service, or license still solve the problem we originally bought it for?</w:t>
            </w:r>
          </w:p>
        </w:tc>
      </w:tr>
    </w:tbl>
    <w:p>
      <w:pPr>
        <w:spacing w:after="20"/>
      </w:pPr>
    </w:p>
    <w:p>
      <w:pPr>
        <w:spacing w:before="120" w:after="80"/>
        <w:keepNext/>
      </w:pPr>
      <w:r>
        <w:rPr>
          <w:rFonts w:ascii="Arial" w:hAnsi="Arial"/>
          <w:b/>
          <w:color w:val="F47A1F"/>
          <w:sz w:val="18"/>
        </w:rPr>
        <w:t>DESIGNED FOR</w:t>
      </w:r>
    </w:p>
    <w:p>
      <w:r>
        <w:rPr>
          <w:rFonts w:ascii="Arial" w:hAnsi="Arial"/>
          <w:b/>
          <w:color w:val="0B2239"/>
          <w:sz w:val="19"/>
        </w:rPr>
        <w:t>CIO / IT Leadership  •  Infrastructure  •  Security  •  Procurement  •  Finance  •  Vendor Management</w:t>
      </w:r>
    </w:p>
    <w:p>
      <w:r>
        <w:br w:type="page"/>
      </w:r>
    </w:p>
    <w:tbl>
      <w:tblPr>
        <w:tblW w:type="auto" w:w="0"/>
        <w:jc w:val="center"/>
        <w:tblLayout w:type="fixed"/>
        <w:tblLook w:firstColumn="1" w:firstRow="1" w:lastColumn="0" w:lastRow="0" w:noHBand="0" w:noVBand="1" w:val="04A0"/>
      </w:tblPr>
      <w:tblGrid>
        <w:gridCol w:w="10512"/>
      </w:tblGrid>
      <w:tr>
        <w:tc>
          <w:tcPr>
            <w:tcW w:type="dxa" w:w="10512"/>
            <w:shd w:fill="0B2239"/>
            <w:tcMar>
              <w:top w:w="120" w:type="dxa"/>
              <w:start w:w="160" w:type="dxa"/>
              <w:bottom w:w="120" w:type="dxa"/>
              <w:end w:w="160" w:type="dxa"/>
            </w:tcMar>
          </w:tcPr>
          <w:p>
            <w:pPr>
              <w:jc w:val="left"/>
            </w:pPr>
            <w:r>
              <w:rPr>
                <w:rFonts w:ascii="Arial" w:hAnsi="Arial"/>
                <w:b/>
                <w:color w:val="FFFFFF"/>
                <w:sz w:val="30"/>
              </w:rPr>
              <w:t>HOW TO USE THIS CHECKLIST</w:t>
            </w:r>
          </w:p>
          <w:p>
            <w:pPr>
              <w:spacing w:before="60"/>
            </w:pPr>
            <w:r>
              <w:rPr>
                <w:rFonts w:ascii="Arial" w:hAnsi="Arial"/>
                <w:color w:val="F7F1E7"/>
                <w:sz w:val="19"/>
              </w:rPr>
              <w:t>Use it for renewals, new purchases, annual vendor reviews, consolidation projects, budget planning, and MSP/service evaluations.</w:t>
            </w:r>
          </w:p>
        </w:tc>
      </w:tr>
    </w:tbl>
    <w:p>
      <w:pPr>
        <w:spacing w:after="0"/>
      </w:pPr>
    </w:p>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EDF2F6"/>
            <w:tcMar>
              <w:top w:w="110" w:type="dxa"/>
              <w:start w:w="150" w:type="dxa"/>
              <w:bottom w:w="110" w:type="dxa"/>
              <w:end w:w="150" w:type="dxa"/>
            </w:tcMar>
          </w:tcPr>
          <w:p>
            <w:r>
              <w:rPr>
                <w:rFonts w:ascii="Arial" w:hAnsi="Arial"/>
                <w:b/>
                <w:color w:val="0B2239"/>
                <w:sz w:val="21"/>
              </w:rPr>
              <w:t>THE DAY 10 PRINCIPLE</w:t>
            </w:r>
          </w:p>
          <w:p>
            <w:pPr>
              <w:spacing w:before="40"/>
            </w:pPr>
            <w:r>
              <w:rPr>
                <w:rFonts w:ascii="Arial" w:hAnsi="Arial"/>
                <w:color w:val="1E2A36"/>
                <w:sz w:val="19"/>
              </w:rPr>
              <w:t>Cutting IT costs is easy. Cutting IT costs without cutting capability is the hard part. The goal is not the cheapest environment; it is a reliable, secure, supportable, appropriately scalable, and financially responsible one.</w:t>
            </w:r>
          </w:p>
        </w:tc>
      </w:tr>
    </w:tbl>
    <w:p>
      <w:pPr>
        <w:spacing w:after="20"/>
      </w:pPr>
    </w:p>
    <w:p>
      <w:pPr>
        <w:spacing w:before="120" w:after="80"/>
        <w:keepNext/>
      </w:pPr>
      <w:r>
        <w:rPr>
          <w:rFonts w:ascii="Arial" w:hAnsi="Arial"/>
          <w:b/>
          <w:color w:val="F47A1F"/>
          <w:sz w:val="18"/>
        </w:rPr>
        <w:t>EVALUATION DETAILS</w:t>
      </w:r>
    </w:p>
    <w:tbl>
      <w:tblPr>
        <w:tblW w:type="auto" w:w="0"/>
        <w:jc w:val="center"/>
        <w:tblLayout w:type="fixed"/>
        <w:tblLook w:firstColumn="1" w:firstRow="1" w:lastColumn="0" w:lastRow="0" w:noHBand="0" w:noVBand="1" w:val="04A0"/>
      </w:tblPr>
      <w:tblGrid>
        <w:gridCol w:w="2628"/>
        <w:gridCol w:w="2628"/>
        <w:gridCol w:w="2628"/>
        <w:gridCol w:w="2628"/>
      </w:tblGrid>
      <w:tr>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Vendor / Provider</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Contract / Service</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r>
      <w:tr>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Business Owner</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Technical Owner</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r>
      <w:tr>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Current Term</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Renewal Date</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r>
      <w:tr>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Annual Spend</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c>
          <w:tcPr>
            <w:tcW w:type="dxa" w:w="1800"/>
            <w:shd w:fill="123A5A"/>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b/>
                <w:color w:val="FFFFFF"/>
                <w:sz w:val="16"/>
              </w:rPr>
              <w:t>Reviewer</w:t>
            </w:r>
          </w:p>
        </w:tc>
        <w:tc>
          <w:tcPr>
            <w:tcW w:type="dxa" w:w="3240"/>
            <w:shd w:fill="FFFFFF"/>
            <w:tcMar>
              <w:top w:w="80" w:type="dxa"/>
              <w:start w:w="80" w:type="dxa"/>
              <w:bottom w:w="80" w:type="dxa"/>
              <w:end w:w="80" w:type="dxa"/>
            </w:tcMar>
            <w:tcBorders>
              <w:top w:val="single" w:sz="4" w:color="CBD5E0"/>
              <w:left w:val="single" w:sz="4" w:color="CBD5E0"/>
              <w:bottom w:val="single" w:sz="4" w:color="CBD5E0"/>
              <w:right w:val="single" w:sz="4" w:color="CBD5E0"/>
            </w:tcBorders>
          </w:tcPr>
          <w:p>
            <w:r>
              <w:rPr>
                <w:rFonts w:ascii="Arial" w:hAnsi="Arial"/>
                <w:color w:val="718096"/>
                <w:sz w:val="16"/>
              </w:rPr>
              <w:t>________________________________</w:t>
            </w:r>
          </w:p>
        </w:tc>
      </w:tr>
    </w:tbl>
    <w:p>
      <w:pPr>
        <w:spacing w:before="120" w:after="80"/>
        <w:keepNext/>
      </w:pPr>
      <w:r>
        <w:rPr>
          <w:rFonts w:ascii="Arial" w:hAnsi="Arial"/>
          <w:b/>
          <w:color w:val="F47A1F"/>
          <w:sz w:val="18"/>
        </w:rPr>
        <w:t>QUICK TRIAGE - INVESTIGATE FURTHER IF ANY ARE TRUE</w:t>
      </w:r>
    </w:p>
    <w:tbl>
      <w:tblPr>
        <w:tblW w:type="auto" w:w="0"/>
        <w:jc w:val="center"/>
        <w:tblLook w:firstColumn="1" w:firstRow="1" w:lastColumn="0" w:lastRow="0" w:noHBand="0" w:noVBand="1" w:val="04A0"/>
      </w:tblPr>
      <w:tblGrid>
        <w:gridCol w:w="10512"/>
      </w:tblGrid>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Nobody can clearly explain what the service does or who owns it.</w:t>
            </w:r>
          </w:p>
        </w:tc>
      </w:tr>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Usage is materially lower than the quantity or tier being purchased.</w:t>
            </w:r>
          </w:p>
        </w:tc>
      </w:tr>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Another platform already provides substantially similar capability.</w:t>
            </w:r>
          </w:p>
        </w:tc>
      </w:tr>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The renewal date is close and no one has reviewed the agreement.</w:t>
            </w:r>
          </w:p>
        </w:tc>
      </w:tr>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Pricing increased but scope, service, or business value did not.</w:t>
            </w:r>
          </w:p>
        </w:tc>
      </w:tr>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The vendor has broad administrative/data access that has not been reviewed.</w:t>
            </w:r>
          </w:p>
        </w:tc>
      </w:tr>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There is no practical exit, migration, data-export, or transition plan.</w:t>
            </w:r>
          </w:p>
        </w:tc>
      </w:tr>
      <w:tr>
        <w:tc>
          <w:tcPr>
            <w:tcW w:type="dxa" w:w="10512"/>
            <w:shd w:fill="FFFFFF"/>
            <w:tcMar>
              <w:top w:w="55" w:type="dxa"/>
              <w:start w:w="100" w:type="dxa"/>
              <w:bottom w:w="55" w:type="dxa"/>
              <w:end w:w="100" w:type="dxa"/>
            </w:tcMar>
            <w:tcBorders>
              <w:bottom w:val="single" w:sz="3" w:color="CBD5E0"/>
            </w:tcBorders>
          </w:tcPr>
          <w:p>
            <w:r>
              <w:rPr>
                <w:rFonts w:ascii="Arial" w:hAnsi="Arial"/>
                <w:b/>
                <w:color w:val="F47A1F"/>
                <w:sz w:val="18"/>
              </w:rPr>
              <w:t xml:space="preserve">[ ]  </w:t>
            </w:r>
            <w:r>
              <w:rPr>
                <w:rFonts w:ascii="Arial" w:hAnsi="Arial"/>
                <w:color w:val="1E2A36"/>
                <w:sz w:val="17"/>
              </w:rPr>
              <w:t>The contract auto-renews before the organization has time to negotiate or cancel.</w:t>
            </w:r>
          </w:p>
        </w:tc>
      </w:tr>
    </w:tbl>
    <w:p>
      <w:r>
        <w:br w:type="page"/>
      </w:r>
    </w:p>
    <w:tbl>
      <w:tblPr>
        <w:tblW w:type="auto" w:w="0"/>
        <w:jc w:val="center"/>
        <w:tblLayout w:type="fixed"/>
        <w:tblLook w:firstColumn="1" w:firstRow="1" w:lastColumn="0" w:lastRow="0" w:noHBand="0" w:noVBand="1" w:val="04A0"/>
      </w:tblPr>
      <w:tblGrid>
        <w:gridCol w:w="10512"/>
      </w:tblGrid>
      <w:tr>
        <w:tc>
          <w:tcPr>
            <w:tcW w:type="dxa" w:w="10512"/>
            <w:shd w:fill="0B2239"/>
            <w:tcMar>
              <w:top w:w="120" w:type="dxa"/>
              <w:start w:w="160" w:type="dxa"/>
              <w:bottom w:w="120" w:type="dxa"/>
              <w:end w:w="160" w:type="dxa"/>
            </w:tcMar>
          </w:tcPr>
          <w:p>
            <w:pPr>
              <w:jc w:val="left"/>
            </w:pPr>
            <w:r>
              <w:rPr>
                <w:rFonts w:ascii="Arial" w:hAnsi="Arial"/>
                <w:b/>
                <w:color w:val="FFFFFF"/>
                <w:sz w:val="30"/>
              </w:rPr>
              <w:t>DETAILED EVALUATION CHECKLIST</w:t>
            </w:r>
          </w:p>
          <w:p>
            <w:pPr>
              <w:spacing w:before="60"/>
            </w:pPr>
            <w:r>
              <w:rPr>
                <w:rFonts w:ascii="Arial" w:hAnsi="Arial"/>
                <w:color w:val="F7F1E7"/>
                <w:sz w:val="19"/>
              </w:rPr>
              <w:t>Review the evidence, not just the invoice. Mark each item and capture enough context to support the final decision.</w:t>
            </w:r>
          </w:p>
        </w:tc>
      </w:tr>
    </w:tbl>
    <w:p>
      <w:pPr>
        <w:spacing w:after="0"/>
      </w:pPr>
    </w:p>
    <w:p>
      <w:pPr>
        <w:spacing w:before="40" w:after="80"/>
        <w:keepNext/>
      </w:pPr>
      <w:r>
        <w:rPr>
          <w:rFonts w:ascii="Arial" w:hAnsi="Arial"/>
          <w:b/>
          <w:color w:val="F47A1F"/>
          <w:sz w:val="36"/>
        </w:rPr>
        <w:t>01</w:t>
      </w:r>
      <w:r>
        <w:rPr>
          <w:rFonts w:ascii="Arial" w:hAnsi="Arial"/>
          <w:b/>
          <w:color w:val="0B2239"/>
          <w:sz w:val="30"/>
        </w:rPr>
        <w:t xml:space="preserve">  Business Need &amp; Strategic Fit</w:t>
      </w:r>
    </w:p>
    <w:p>
      <w:pPr>
        <w:spacing w:after="140"/>
      </w:pPr>
      <w:r>
        <w:rPr>
          <w:rFonts w:ascii="Arial" w:hAnsi="Arial"/>
          <w:color w:val="1E2A36"/>
          <w:sz w:val="19"/>
        </w:rPr>
        <w:t>Start with why the organization has the service. A renewal should not happen just because the contract existed last year.</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Can we clearly state the business problem this contract/service/license is intended to solve?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Original business case, project charter, owner interview</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that problem still exist in substantially the same form?</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Current process, architecture, business requirements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service still align with current business and IT strategy?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Roadmap, technology standards, leadership priorities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 service essential, useful, convenient, or simply historical?</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Operational impact if removed</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business capability would be lost if the service were eliminated?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Users, processes, systems, locations affected</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Could the requirement now be met by a platform we already own?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M365, endpoint suite, security stack, infrastructure tools, etc.</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 service still appropriately sized for the organization?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User count, locations, workloads, transaction volume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EDF2F6"/>
            <w:tcMar>
              <w:top w:w="110" w:type="dxa"/>
              <w:start w:w="150" w:type="dxa"/>
              <w:bottom w:w="110" w:type="dxa"/>
              <w:end w:w="150" w:type="dxa"/>
            </w:tcMar>
          </w:tcPr>
          <w:p>
            <w:r>
              <w:rPr>
                <w:rFonts w:ascii="Arial" w:hAnsi="Arial"/>
                <w:b/>
                <w:color w:val="0B2239"/>
                <w:sz w:val="21"/>
              </w:rPr>
              <w:t>KEY QUESTION</w:t>
            </w:r>
          </w:p>
          <w:p>
            <w:pPr>
              <w:spacing w:before="40"/>
            </w:pPr>
            <w:r>
              <w:rPr>
                <w:rFonts w:ascii="Arial" w:hAnsi="Arial"/>
                <w:color w:val="1E2A36"/>
                <w:sz w:val="19"/>
              </w:rPr>
              <w:t>If we were making this decision from scratch today, would we buy this again?</w:t>
            </w:r>
          </w:p>
        </w:tc>
      </w:tr>
    </w:tbl>
    <w:p>
      <w:pPr>
        <w:spacing w:after="20"/>
      </w:pPr>
    </w:p>
    <w:p>
      <w:pPr>
        <w:spacing w:before="40" w:after="80"/>
        <w:keepNext/>
      </w:pPr>
      <w:r>
        <w:rPr>
          <w:rFonts w:ascii="Arial" w:hAnsi="Arial"/>
          <w:b/>
          <w:color w:val="F47A1F"/>
          <w:sz w:val="36"/>
        </w:rPr>
        <w:t>02</w:t>
      </w:r>
      <w:r>
        <w:rPr>
          <w:rFonts w:ascii="Arial" w:hAnsi="Arial"/>
          <w:b/>
          <w:color w:val="0B2239"/>
          <w:sz w:val="30"/>
        </w:rPr>
        <w:t xml:space="preserve">  Usage, Adoption &amp; Value</w:t>
      </w:r>
    </w:p>
    <w:p>
      <w:pPr>
        <w:spacing w:after="140"/>
      </w:pPr>
      <w:r>
        <w:rPr>
          <w:rFonts w:ascii="Arial" w:hAnsi="Arial"/>
          <w:color w:val="1E2A36"/>
          <w:sz w:val="19"/>
        </w:rPr>
        <w:t>Purchased capacity and actual consumption are often very different. Look for inactive users, unused features, low adoption, and premium tiers that are not creating value.</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How many licenses, seats, devices, nodes, cores, users, or units are purchased?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Contract / portal / invoice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How many are actively used in a normal month?</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Usage reports, sign-in data, telemetry</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terminated or inactive users still consuming licenses?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HR/user lifecycle comparison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premium features actually being used by the people assigned premium licenses?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Feature-level usage where available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there departments or locations paying for capability they rarely use?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Usage by team/location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adoption limited because the tool is poor, training is weak, or another tool is preferred?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User feedback, tickets, training history</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Can licenses be reclaimed, pooled, right-sized, or reassigned?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Licensing model and operational process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tbl>
      <w:tblPr>
        <w:tblW w:type="auto" w:w="0"/>
        <w:jc w:val="center"/>
        <w:tblLayout w:type="fixed"/>
        <w:tblLook w:firstColumn="1" w:firstRow="1" w:lastColumn="0" w:lastRow="0" w:noHBand="0" w:noVBand="1" w:val="04A0"/>
      </w:tblPr>
      <w:tblGrid>
        <w:gridCol w:w="10512"/>
      </w:tblGrid>
      <w:tr>
        <w:tc>
          <w:tcPr>
            <w:tcW w:type="dxa" w:w="10512"/>
            <w:shd w:fill="0B2239"/>
            <w:tcMar>
              <w:top w:w="120" w:type="dxa"/>
              <w:start w:w="160" w:type="dxa"/>
              <w:bottom w:w="120" w:type="dxa"/>
              <w:end w:w="160" w:type="dxa"/>
            </w:tcMar>
          </w:tcPr>
          <w:p>
            <w:pPr>
              <w:jc w:val="left"/>
            </w:pPr>
            <w:r>
              <w:rPr>
                <w:rFonts w:ascii="Arial" w:hAnsi="Arial"/>
                <w:b/>
                <w:color w:val="FFFFFF"/>
                <w:sz w:val="30"/>
              </w:rPr>
              <w:t>COST, LICENSING &amp; COMMERCIAL VALUE</w:t>
            </w:r>
          </w:p>
          <w:p>
            <w:pPr>
              <w:spacing w:before="60"/>
            </w:pPr>
            <w:r>
              <w:rPr>
                <w:rFonts w:ascii="Arial" w:hAnsi="Arial"/>
                <w:color w:val="F7F1E7"/>
                <w:sz w:val="19"/>
              </w:rPr>
              <w:t>Price matters, but lifecycle cost and duplicated capability matter more than the headline renewal amount.</w:t>
            </w:r>
          </w:p>
        </w:tc>
      </w:tr>
    </w:tbl>
    <w:p>
      <w:pPr>
        <w:spacing w:after="0"/>
      </w:pPr>
    </w:p>
    <w:p>
      <w:pPr>
        <w:spacing w:before="40" w:after="80"/>
        <w:keepNext/>
      </w:pPr>
      <w:r>
        <w:rPr>
          <w:rFonts w:ascii="Arial" w:hAnsi="Arial"/>
          <w:b/>
          <w:color w:val="F47A1F"/>
          <w:sz w:val="36"/>
        </w:rPr>
        <w:t>03</w:t>
      </w:r>
      <w:r>
        <w:rPr>
          <w:rFonts w:ascii="Arial" w:hAnsi="Arial"/>
          <w:b/>
          <w:color w:val="0B2239"/>
          <w:sz w:val="30"/>
        </w:rPr>
        <w:t xml:space="preserve">  Cost &amp; Total Cost of Ownership</w:t>
      </w:r>
    </w:p>
    <w:p>
      <w:pPr>
        <w:spacing w:after="140"/>
      </w:pPr>
      <w:r>
        <w:rPr>
          <w:rFonts w:ascii="Arial" w:hAnsi="Arial"/>
          <w:color w:val="1E2A36"/>
          <w:sz w:val="19"/>
        </w:rPr>
        <w:t>Evaluate the complete cost of keeping the service, not only the recurring subscription or support fee.</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is the current monthly and annual cost?</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Invoices, PO, contract schedule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How has pricing changed over the last 2-3 terms?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Prior agreements / invoices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there implementation, support, overage, storage, data-transfer, or professional-services fees?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Order form, fee schedule, invoices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internal labor is required to operate and support the service?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Administration, patching, integrations, ticket volume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solution reduce labor, downtime, risk, or other costs elsewhere?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Documented benefit / avoided cost</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minimum commitments materially higher than actual consumption?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Commit vs use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Would a different term, tier, quantity, or pricing model materially reduce cost?</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Vendor quote / alternate packaging</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we accepting a higher cost because switching would create unacceptable business risk?</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Migration/transition analysis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EDF2F6"/>
            <w:tcMar>
              <w:top w:w="110" w:type="dxa"/>
              <w:start w:w="150" w:type="dxa"/>
              <w:bottom w:w="110" w:type="dxa"/>
              <w:end w:w="150" w:type="dxa"/>
            </w:tcMar>
          </w:tcPr>
          <w:p>
            <w:r>
              <w:rPr>
                <w:rFonts w:ascii="Arial" w:hAnsi="Arial"/>
                <w:b/>
                <w:color w:val="0B2239"/>
                <w:sz w:val="21"/>
              </w:rPr>
              <w:t>REMEMBER</w:t>
            </w:r>
          </w:p>
          <w:p>
            <w:pPr>
              <w:spacing w:before="40"/>
            </w:pPr>
            <w:r>
              <w:rPr>
                <w:rFonts w:ascii="Arial" w:hAnsi="Arial"/>
                <w:color w:val="1E2A36"/>
                <w:sz w:val="19"/>
              </w:rPr>
              <w:t>Efficiency is a financial strategy too. Time saved, downtime avoided, and complexity reduced all have economic value.</w:t>
            </w:r>
          </w:p>
        </w:tc>
      </w:tr>
    </w:tbl>
    <w:p>
      <w:pPr>
        <w:spacing w:after="20"/>
      </w:pPr>
    </w:p>
    <w:p>
      <w:pPr>
        <w:spacing w:before="40" w:after="80"/>
        <w:keepNext/>
      </w:pPr>
      <w:r>
        <w:rPr>
          <w:rFonts w:ascii="Arial" w:hAnsi="Arial"/>
          <w:b/>
          <w:color w:val="F47A1F"/>
          <w:sz w:val="36"/>
        </w:rPr>
        <w:t>04</w:t>
      </w:r>
      <w:r>
        <w:rPr>
          <w:rFonts w:ascii="Arial" w:hAnsi="Arial"/>
          <w:b/>
          <w:color w:val="0B2239"/>
          <w:sz w:val="30"/>
        </w:rPr>
        <w:t xml:space="preserve">  Licensing &amp; Entitlement Review</w:t>
      </w:r>
    </w:p>
    <w:p>
      <w:pPr>
        <w:spacing w:after="140"/>
      </w:pPr>
      <w:r>
        <w:rPr>
          <w:rFonts w:ascii="Arial" w:hAnsi="Arial"/>
          <w:color w:val="1E2A36"/>
          <w:sz w:val="19"/>
        </w:rPr>
        <w:t>Licensing is often where hidden waste, compliance exposure, and unnecessary complexity accumulate.</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 licensing metric clearly understood (user, device, core, VM, capacity, site, tenant, consumption)?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Contract definition / vendor documentation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organization have enough licenses to remain compliant?</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Entitlement vs deployment</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 organization buying substantially more entitlement than required?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Entitlement vs active usage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there true-up, audit, overage, minimum-spend, or usage-reporting obligations?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Contract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non-production, DR, test, service, guest, or shared accounts licensed differently?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License rules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Can licenses be reduced during the term or only at renewal?</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Commercial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license assignments automatically reclaimed during offboarding?</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IAM / HR / SaaS process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there a realistic risk of a vendor audit or unexpected true-up?</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Current compliance posture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tbl>
      <w:tblPr>
        <w:tblW w:type="auto" w:w="0"/>
        <w:jc w:val="center"/>
        <w:tblLayout w:type="fixed"/>
        <w:tblLook w:firstColumn="1" w:firstRow="1" w:lastColumn="0" w:lastRow="0" w:noHBand="0" w:noVBand="1" w:val="04A0"/>
      </w:tblPr>
      <w:tblGrid>
        <w:gridCol w:w="10512"/>
      </w:tblGrid>
      <w:tr>
        <w:tc>
          <w:tcPr>
            <w:tcW w:type="dxa" w:w="10512"/>
            <w:shd w:fill="0B2239"/>
            <w:tcMar>
              <w:top w:w="120" w:type="dxa"/>
              <w:start w:w="160" w:type="dxa"/>
              <w:bottom w:w="120" w:type="dxa"/>
              <w:end w:w="160" w:type="dxa"/>
            </w:tcMar>
          </w:tcPr>
          <w:p>
            <w:pPr>
              <w:jc w:val="left"/>
            </w:pPr>
            <w:r>
              <w:rPr>
                <w:rFonts w:ascii="Arial" w:hAnsi="Arial"/>
                <w:b/>
                <w:color w:val="FFFFFF"/>
                <w:sz w:val="30"/>
              </w:rPr>
              <w:t>SERVICE, VENDOR &amp; RISK REVIEW</w:t>
            </w:r>
          </w:p>
          <w:p>
            <w:pPr>
              <w:spacing w:before="60"/>
            </w:pPr>
            <w:r>
              <w:rPr>
                <w:rFonts w:ascii="Arial" w:hAnsi="Arial"/>
                <w:color w:val="F7F1E7"/>
                <w:sz w:val="19"/>
              </w:rPr>
              <w:t>The contract should be evaluated as an operating relationship, not just a price sheet.</w:t>
            </w:r>
          </w:p>
        </w:tc>
      </w:tr>
    </w:tbl>
    <w:p>
      <w:pPr>
        <w:spacing w:after="0"/>
      </w:pPr>
    </w:p>
    <w:p>
      <w:pPr>
        <w:spacing w:before="40" w:after="80"/>
        <w:keepNext/>
      </w:pPr>
      <w:r>
        <w:rPr>
          <w:rFonts w:ascii="Arial" w:hAnsi="Arial"/>
          <w:b/>
          <w:color w:val="F47A1F"/>
          <w:sz w:val="36"/>
        </w:rPr>
        <w:t>05</w:t>
      </w:r>
      <w:r>
        <w:rPr>
          <w:rFonts w:ascii="Arial" w:hAnsi="Arial"/>
          <w:b/>
          <w:color w:val="0B2239"/>
          <w:sz w:val="30"/>
        </w:rPr>
        <w:t xml:space="preserve">  Vendor / Service Performance</w:t>
      </w:r>
    </w:p>
    <w:p>
      <w:pPr>
        <w:spacing w:after="140"/>
      </w:pPr>
      <w:r>
        <w:rPr>
          <w:rFonts w:ascii="Arial" w:hAnsi="Arial"/>
          <w:color w:val="1E2A36"/>
          <w:sz w:val="19"/>
        </w:rPr>
        <w:t>A service can be technically capable and still be a poor operational fit if support, reliability, communication, or ownership are weak.</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Has the service consistently met availability and performance expectations?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Monitoring, incident history, user complaints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SLAs meaningful, measurable, and actually being met?</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SLA reports, support tickets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How responsive is support during normal and critical incidents?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Ticket history, escalation experience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recurring problems actually resolved or repeatedly worked around?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Problem/incident history</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vendor communicate outages, maintenance, security events, and product changes appropriately?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Status notices / account communication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Has the vendor delivered promised roadmap features or improvements?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Account reviews / roadmap commitments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there a named account/support contact with a usable escalation path?</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Account team / escalation matrix</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service require excessive internal effort relative to the value it provides?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Admin time, incidents, integration maintenance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p>
      <w:pPr>
        <w:spacing w:before="40" w:after="80"/>
        <w:keepNext/>
      </w:pPr>
      <w:r>
        <w:rPr>
          <w:rFonts w:ascii="Arial" w:hAnsi="Arial"/>
          <w:b/>
          <w:color w:val="F47A1F"/>
          <w:sz w:val="36"/>
        </w:rPr>
        <w:t>06</w:t>
      </w:r>
      <w:r>
        <w:rPr>
          <w:rFonts w:ascii="Arial" w:hAnsi="Arial"/>
          <w:b/>
          <w:color w:val="0B2239"/>
          <w:sz w:val="30"/>
        </w:rPr>
        <w:t xml:space="preserve">  Security, Compliance &amp; Data</w:t>
      </w:r>
    </w:p>
    <w:p>
      <w:pPr>
        <w:spacing w:after="140"/>
      </w:pPr>
      <w:r>
        <w:rPr>
          <w:rFonts w:ascii="Arial" w:hAnsi="Arial"/>
          <w:color w:val="1E2A36"/>
          <w:sz w:val="19"/>
        </w:rPr>
        <w:t>Every recurring service creates some combination of identity, data, access, privacy, security, and regulatory exposure.</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organizational data is stored, processed, transmitted, or accessible by the vendor?</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Data flow / system inventory</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Where is the data hosted and are geographic/residency requirements satisfied?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DPA / architecture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SSO available and is MFA enforced for administrative access?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Identity configuration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Who currently has administrative access on both the customer and vendor side?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Admin inventory / privileged access review</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security responsibilities between the organization and vendor clearly defined?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Shared responsibility model / contract</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relevant security reports/certifications current (SOC 2, ISO, PCI, etc., as applicable)?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Current assurance documents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breach notification and incident response obligations clear?</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MSA / DPA / security addendum</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retention, deletion, backup, and data-return requirements defined?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DPA / retention policy / exit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subcontractors/subprocessors disclosed and reviewed where required?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Subprocessor list</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EDF2F6"/>
            <w:tcMar>
              <w:top w:w="110" w:type="dxa"/>
              <w:start w:w="150" w:type="dxa"/>
              <w:bottom w:w="110" w:type="dxa"/>
              <w:end w:w="150" w:type="dxa"/>
            </w:tcMar>
          </w:tcPr>
          <w:p>
            <w:r>
              <w:rPr>
                <w:rFonts w:ascii="Arial" w:hAnsi="Arial"/>
                <w:b/>
                <w:color w:val="0B2239"/>
                <w:sz w:val="21"/>
              </w:rPr>
              <w:t>RED FLAG</w:t>
            </w:r>
          </w:p>
          <w:p>
            <w:pPr>
              <w:spacing w:before="40"/>
            </w:pPr>
            <w:r>
              <w:rPr>
                <w:rFonts w:ascii="Arial" w:hAnsi="Arial"/>
                <w:color w:val="1E2A36"/>
                <w:sz w:val="19"/>
              </w:rPr>
              <w:t>Broad vendor access + weak identity controls + unclear data ownership is a cost discussion and a risk discussion.</w:t>
            </w:r>
          </w:p>
        </w:tc>
      </w:tr>
    </w:tbl>
    <w:p>
      <w:pPr>
        <w:spacing w:after="20"/>
      </w:pPr>
    </w:p>
    <w:tbl>
      <w:tblPr>
        <w:tblW w:type="auto" w:w="0"/>
        <w:jc w:val="center"/>
        <w:tblLayout w:type="fixed"/>
        <w:tblLook w:firstColumn="1" w:firstRow="1" w:lastColumn="0" w:lastRow="0" w:noHBand="0" w:noVBand="1" w:val="04A0"/>
      </w:tblPr>
      <w:tblGrid>
        <w:gridCol w:w="10512"/>
      </w:tblGrid>
      <w:tr>
        <w:tc>
          <w:tcPr>
            <w:tcW w:type="dxa" w:w="10512"/>
            <w:shd w:fill="0B2239"/>
            <w:tcMar>
              <w:top w:w="120" w:type="dxa"/>
              <w:start w:w="160" w:type="dxa"/>
              <w:bottom w:w="120" w:type="dxa"/>
              <w:end w:w="160" w:type="dxa"/>
            </w:tcMar>
          </w:tcPr>
          <w:p>
            <w:pPr>
              <w:jc w:val="left"/>
            </w:pPr>
            <w:r>
              <w:rPr>
                <w:rFonts w:ascii="Arial" w:hAnsi="Arial"/>
                <w:b/>
                <w:color w:val="FFFFFF"/>
                <w:sz w:val="30"/>
              </w:rPr>
              <w:t>OPERATIONAL FIT &amp; CONTRACT TERMS</w:t>
            </w:r>
          </w:p>
          <w:p>
            <w:pPr>
              <w:spacing w:before="60"/>
            </w:pPr>
            <w:r>
              <w:rPr>
                <w:rFonts w:ascii="Arial" w:hAnsi="Arial"/>
                <w:color w:val="F7F1E7"/>
                <w:sz w:val="19"/>
              </w:rPr>
              <w:t>Good technology can still be a bad decision if the team cannot support it or the agreement is structured against you.</w:t>
            </w:r>
          </w:p>
        </w:tc>
      </w:tr>
    </w:tbl>
    <w:p>
      <w:pPr>
        <w:spacing w:after="0"/>
      </w:pPr>
    </w:p>
    <w:p>
      <w:pPr>
        <w:spacing w:before="40" w:after="80"/>
        <w:keepNext/>
      </w:pPr>
      <w:r>
        <w:rPr>
          <w:rFonts w:ascii="Arial" w:hAnsi="Arial"/>
          <w:b/>
          <w:color w:val="F47A1F"/>
          <w:sz w:val="36"/>
        </w:rPr>
        <w:t>07</w:t>
      </w:r>
      <w:r>
        <w:rPr>
          <w:rFonts w:ascii="Arial" w:hAnsi="Arial"/>
          <w:b/>
          <w:color w:val="0B2239"/>
          <w:sz w:val="30"/>
        </w:rPr>
        <w:t xml:space="preserve">  Technical &amp; Operational Fit</w:t>
      </w:r>
    </w:p>
    <w:p>
      <w:pPr>
        <w:spacing w:after="140"/>
      </w:pPr>
      <w:r>
        <w:rPr>
          <w:rFonts w:ascii="Arial" w:hAnsi="Arial"/>
          <w:color w:val="1E2A36"/>
          <w:sz w:val="19"/>
        </w:rPr>
        <w:t>Evaluate how the service behaves inside the real environment: integrations, skills, ownership, support burden, monitoring, and dependencies.</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there a clearly identified technical owner and business owner?</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RACI / system inventory</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team have the skills to administer and troubleshoot the platform?</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Skills / support model</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architecture, integrations, dependencies, and data flows documented?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Diagrams / runbooks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Is the platform integrated with standard identity, logging, monitoring, ticketing, and lifecycle processes?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Current integrations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service create avoidable exceptions to standard architecture or operating processes?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Standards comparison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backups/recovery responsibilities clear and tested where applicable?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Recovery plan / test results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Would eliminating the service materially reduce complexity?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Dependency and process review</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service create a single-person knowledge dependency?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Ownership / cross-training review</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p>
      <w:pPr>
        <w:spacing w:before="40" w:after="80"/>
        <w:keepNext/>
      </w:pPr>
      <w:r>
        <w:rPr>
          <w:rFonts w:ascii="Arial" w:hAnsi="Arial"/>
          <w:b/>
          <w:color w:val="F47A1F"/>
          <w:sz w:val="36"/>
        </w:rPr>
        <w:t>08</w:t>
      </w:r>
      <w:r>
        <w:rPr>
          <w:rFonts w:ascii="Arial" w:hAnsi="Arial"/>
          <w:b/>
          <w:color w:val="0B2239"/>
          <w:sz w:val="30"/>
        </w:rPr>
        <w:t xml:space="preserve">  Renewal, Termination &amp; Commercial Terms</w:t>
      </w:r>
    </w:p>
    <w:p>
      <w:pPr>
        <w:spacing w:after="140"/>
      </w:pPr>
      <w:r>
        <w:rPr>
          <w:rFonts w:ascii="Arial" w:hAnsi="Arial"/>
          <w:color w:val="1E2A36"/>
          <w:sz w:val="19"/>
        </w:rPr>
        <w:t>Most leverage is lost after an automatic renewal. Understand the timing and obligations before the decision window closes.</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is the exact renewal date?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Contract / order form</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the agreement auto-renew?</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Renewal clause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is the cancellation/non-renewal notice period?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Termination clause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is the final date to provide notice without penalty?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Calculated from contract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Can quantities, tiers, or scope be reduced at renewal?</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Commercial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there early termination fees or minimum commitments?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Termination / commitment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annual price increases capped or contractually limited?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Pricing / uplift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there price protections for multi-year terms?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Quote / order form</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there service credits, remedies, or termination rights for repeated SLA failure?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SLA / MSA</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Has competitive pricing been requested before renewal?</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Alternative quotes / benchmark</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EDF2F6"/>
            <w:tcMar>
              <w:top w:w="110" w:type="dxa"/>
              <w:start w:w="150" w:type="dxa"/>
              <w:bottom w:w="110" w:type="dxa"/>
              <w:end w:w="150" w:type="dxa"/>
            </w:tcMar>
          </w:tcPr>
          <w:p>
            <w:r>
              <w:rPr>
                <w:rFonts w:ascii="Arial" w:hAnsi="Arial"/>
                <w:b/>
                <w:color w:val="0B2239"/>
                <w:sz w:val="21"/>
              </w:rPr>
              <w:t>PRACTICAL RULE</w:t>
            </w:r>
          </w:p>
          <w:p>
            <w:pPr>
              <w:spacing w:before="40"/>
            </w:pPr>
            <w:r>
              <w:rPr>
                <w:rFonts w:ascii="Arial" w:hAnsi="Arial"/>
                <w:color w:val="1E2A36"/>
                <w:sz w:val="19"/>
              </w:rPr>
              <w:t>Put renewal and notice dates on a calendar months before the deadline. Negotiating after auto-renewal is a very different conversation.</w:t>
            </w:r>
          </w:p>
        </w:tc>
      </w:tr>
    </w:tbl>
    <w:p>
      <w:pPr>
        <w:spacing w:after="20"/>
      </w:pPr>
    </w:p>
    <w:tbl>
      <w:tblPr>
        <w:tblW w:type="auto" w:w="0"/>
        <w:jc w:val="center"/>
        <w:tblLayout w:type="fixed"/>
        <w:tblLook w:firstColumn="1" w:firstRow="1" w:lastColumn="0" w:lastRow="0" w:noHBand="0" w:noVBand="1" w:val="04A0"/>
      </w:tblPr>
      <w:tblGrid>
        <w:gridCol w:w="10512"/>
      </w:tblGrid>
      <w:tr>
        <w:tc>
          <w:tcPr>
            <w:tcW w:type="dxa" w:w="10512"/>
            <w:shd w:fill="0B2239"/>
            <w:tcMar>
              <w:top w:w="120" w:type="dxa"/>
              <w:start w:w="160" w:type="dxa"/>
              <w:bottom w:w="120" w:type="dxa"/>
              <w:end w:w="160" w:type="dxa"/>
            </w:tcMar>
          </w:tcPr>
          <w:p>
            <w:pPr>
              <w:jc w:val="left"/>
            </w:pPr>
            <w:r>
              <w:rPr>
                <w:rFonts w:ascii="Arial" w:hAnsi="Arial"/>
                <w:b/>
                <w:color w:val="FFFFFF"/>
                <w:sz w:val="30"/>
              </w:rPr>
              <w:t>EXIT STRATEGY, LOCK-IN &amp; CONSOLIDATION</w:t>
            </w:r>
          </w:p>
          <w:p>
            <w:pPr>
              <w:spacing w:before="60"/>
            </w:pPr>
            <w:r>
              <w:rPr>
                <w:rFonts w:ascii="Arial" w:hAnsi="Arial"/>
                <w:color w:val="F7F1E7"/>
                <w:sz w:val="19"/>
              </w:rPr>
              <w:t>A service is easier to approve when you understand how to leave it.</w:t>
            </w:r>
          </w:p>
        </w:tc>
      </w:tr>
    </w:tbl>
    <w:p>
      <w:pPr>
        <w:spacing w:after="0"/>
      </w:pPr>
    </w:p>
    <w:p>
      <w:pPr>
        <w:spacing w:before="40" w:after="80"/>
        <w:keepNext/>
      </w:pPr>
      <w:r>
        <w:rPr>
          <w:rFonts w:ascii="Arial" w:hAnsi="Arial"/>
          <w:b/>
          <w:color w:val="F47A1F"/>
          <w:sz w:val="36"/>
        </w:rPr>
        <w:t>09</w:t>
      </w:r>
      <w:r>
        <w:rPr>
          <w:rFonts w:ascii="Arial" w:hAnsi="Arial"/>
          <w:b/>
          <w:color w:val="0B2239"/>
          <w:sz w:val="30"/>
        </w:rPr>
        <w:t xml:space="preserve">  Exit Strategy &amp; Vendor Lock-in</w:t>
      </w:r>
    </w:p>
    <w:p>
      <w:pPr>
        <w:spacing w:after="140"/>
      </w:pPr>
      <w:r>
        <w:rPr>
          <w:rFonts w:ascii="Arial" w:hAnsi="Arial"/>
          <w:color w:val="1E2A36"/>
          <w:sz w:val="19"/>
        </w:rPr>
        <w:t>Evaluate portability, transition effort, data ownership, and the operational consequences of changing providers or platforms.</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Can all organizational data be exported in a usable format?</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Export capability / contract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APIs or migration tools available without additional premium licensing?</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Technical documentation / pricing</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assistance is the vendor required to provide during transition?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Exit / transition assistance clause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How long will the vendor retain data after termination?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DPA / retention terms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Can data deletion be verified or certified?</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Contract / privacy process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configurations, documentation, scripts, integrations, or customizations portable?</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Technical review</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What is the estimated time, labor, and business disruption to migrate away?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Migration estimate</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proprietary formats, contract terms, or architecture choices creating unreasonable lock-in?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Risk assessment</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p>
      <w:pPr>
        <w:spacing w:before="40" w:after="80"/>
        <w:keepNext/>
      </w:pPr>
      <w:r>
        <w:rPr>
          <w:rFonts w:ascii="Arial" w:hAnsi="Arial"/>
          <w:b/>
          <w:color w:val="F47A1F"/>
          <w:sz w:val="36"/>
        </w:rPr>
        <w:t>10</w:t>
      </w:r>
      <w:r>
        <w:rPr>
          <w:rFonts w:ascii="Arial" w:hAnsi="Arial"/>
          <w:b/>
          <w:color w:val="0B2239"/>
          <w:sz w:val="30"/>
        </w:rPr>
        <w:t xml:space="preserve">  Overlap, Consolidation &amp; Alternatives</w:t>
      </w:r>
    </w:p>
    <w:p>
      <w:pPr>
        <w:spacing w:after="140"/>
      </w:pPr>
      <w:r>
        <w:rPr>
          <w:rFonts w:ascii="Arial" w:hAnsi="Arial"/>
          <w:color w:val="1E2A36"/>
          <w:sz w:val="19"/>
        </w:rPr>
        <w:t>The best savings may come from simplifying the stack rather than negotiating a small discount on every individual product.</w:t>
      </w:r>
    </w:p>
    <w:tbl>
      <w:tblPr>
        <w:tblW w:type="auto" w:w="0"/>
        <w:jc w:val="center"/>
        <w:tblLayout w:type="fixed"/>
        <w:tblLook w:firstColumn="1" w:firstRow="1" w:lastColumn="0" w:lastRow="0" w:noHBand="0" w:noVBand="1" w:val="04A0"/>
      </w:tblPr>
      <w:tblGrid>
        <w:gridCol w:w="2628"/>
        <w:gridCol w:w="2628"/>
        <w:gridCol w:w="2628"/>
        <w:gridCol w:w="2628"/>
      </w:tblGrid>
      <w:tr>
        <w:trPr>
          <w:tblHeader w:val="true"/>
        </w:trPr>
        <w:tc>
          <w:tcPr>
            <w:tcW w:type="dxa" w:w="547"/>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r>
          </w:p>
        </w:tc>
        <w:tc>
          <w:tcPr>
            <w:tcW w:type="dxa" w:w="4536"/>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Evaluation question</w:t>
            </w:r>
          </w:p>
        </w:tc>
        <w:tc>
          <w:tcPr>
            <w:tcW w:type="dxa" w:w="3240"/>
            <w:shd w:fill="123A5A"/>
            <w:tcMar>
              <w:top w:w="80" w:type="dxa"/>
              <w:start w:w="80" w:type="dxa"/>
              <w:bottom w:w="80" w:type="dxa"/>
              <w:end w:w="80" w:type="dxa"/>
            </w:tcMar>
            <w:tcBorders>
              <w:bottom w:val="single" w:sz="8" w:color="123A5A"/>
            </w:tcBorders>
          </w:tcPr>
          <w:p>
            <w:pPr>
              <w:jc w:val="left"/>
            </w:pPr>
            <w:r>
              <w:rPr>
                <w:rFonts w:ascii="Arial" w:hAnsi="Arial"/>
                <w:b/>
                <w:color w:val="FFFFFF"/>
                <w:sz w:val="17"/>
              </w:rPr>
              <w:t>Evidence / Notes</w:t>
            </w:r>
          </w:p>
        </w:tc>
        <w:tc>
          <w:tcPr>
            <w:tcW w:type="dxa" w:w="1512"/>
            <w:shd w:fill="123A5A"/>
            <w:tcMar>
              <w:top w:w="80" w:type="dxa"/>
              <w:start w:w="80" w:type="dxa"/>
              <w:bottom w:w="80" w:type="dxa"/>
              <w:end w:w="80" w:type="dxa"/>
            </w:tcMar>
            <w:tcBorders>
              <w:bottom w:val="single" w:sz="8" w:color="123A5A"/>
            </w:tcBorders>
          </w:tcPr>
          <w:p>
            <w:pPr>
              <w:jc w:val="center"/>
            </w:pPr>
            <w:r>
              <w:rPr>
                <w:rFonts w:ascii="Arial" w:hAnsi="Arial"/>
                <w:b/>
                <w:color w:val="FFFFFF"/>
                <w:sz w:val="17"/>
              </w:rPr>
              <w:t>Status</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Which other products provide overlapping functionality?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Application / service portfolio</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Does a strategic platform already include the required capability?</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Existing enterprise licenses</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Could retiring this service reduce support, integration, training, and documentation burden?</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Operational impact</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Would consolidation create unacceptable concentration or resiliency risk?</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Architecture / vendor risk</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Are there lower-cost tiers or alternatives that still meet the requirement?</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Market comparison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Has the cost of migration been compared with the savings over 2-3 years?</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Business case / TCO</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r>
        <w:trPr>
          <w:cantSplit/>
        </w:trPr>
        <w:tc>
          <w:tcPr>
            <w:tcW w:type="dxa" w:w="547"/>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b/>
                <w:color w:val="F47A1F"/>
                <w:sz w:val="19"/>
              </w:rPr>
              <w:t>[ ]</w:t>
            </w:r>
          </w:p>
        </w:tc>
        <w:tc>
          <w:tcPr>
            <w:tcW w:type="dxa" w:w="4536"/>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color w:val="1E2A36"/>
                <w:sz w:val="17"/>
              </w:rPr>
              <w:t>Would staying with the existing vendor still be the best decision after a competitive review?</w:t>
            </w:r>
          </w:p>
        </w:tc>
        <w:tc>
          <w:tcPr>
            <w:tcW w:type="dxa" w:w="3240"/>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r>
              <w:rPr>
                <w:rFonts w:ascii="Arial" w:hAnsi="Arial"/>
                <w:i/>
                <w:color w:val="718096"/>
                <w:sz w:val="16"/>
              </w:rPr>
              <w:t>Quotes / capabilities / risk comparison</w:t>
            </w:r>
          </w:p>
        </w:tc>
        <w:tc>
          <w:tcPr>
            <w:tcW w:type="dxa" w:w="1512"/>
            <w:tcMar>
              <w:top w:w="75" w:type="dxa"/>
              <w:start w:w="85" w:type="dxa"/>
              <w:bottom w:w="75" w:type="dxa"/>
              <w:end w:w="85" w:type="dxa"/>
            </w:tcMar>
            <w:tcBorders>
              <w:top w:val="single" w:sz="4" w:color="CBD5E0"/>
              <w:left w:val="single" w:sz="4" w:color="CBD5E0"/>
              <w:bottom w:val="single" w:sz="4" w:color="CBD5E0"/>
              <w:right w:val="single" w:sz="4" w:color="CBD5E0"/>
            </w:tcBorders>
            <w:vAlign w:val="center"/>
          </w:tcPr>
          <w:p>
            <w:pPr>
              <w:jc w:val="center"/>
            </w:pPr>
            <w:r>
              <w:rPr>
                <w:rFonts w:ascii="Arial" w:hAnsi="Arial"/>
                <w:color w:val="718096"/>
                <w:sz w:val="15"/>
              </w:rPr>
              <w:t>OK / Review</w:t>
              <w:br/>
              <w:t>Gap / N/A</w:t>
            </w:r>
          </w:p>
        </w:tc>
      </w:tr>
    </w:tbl>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EDF2F6"/>
            <w:tcMar>
              <w:top w:w="110" w:type="dxa"/>
              <w:start w:w="150" w:type="dxa"/>
              <w:bottom w:w="110" w:type="dxa"/>
              <w:end w:w="150" w:type="dxa"/>
            </w:tcMar>
          </w:tcPr>
          <w:p>
            <w:r>
              <w:rPr>
                <w:rFonts w:ascii="Arial" w:hAnsi="Arial"/>
                <w:b/>
                <w:color w:val="0B2239"/>
                <w:sz w:val="21"/>
              </w:rPr>
              <w:t>NOT EVERY SAVING IS A GOOD SAVING</w:t>
            </w:r>
          </w:p>
          <w:p>
            <w:pPr>
              <w:spacing w:before="40"/>
            </w:pPr>
            <w:r>
              <w:rPr>
                <w:rFonts w:ascii="Arial" w:hAnsi="Arial"/>
                <w:color w:val="1E2A36"/>
                <w:sz w:val="19"/>
              </w:rPr>
              <w:t>Do not remove useful redundancy, security, support, or resilience just to make a spreadsheet number smaller.</w:t>
            </w:r>
          </w:p>
        </w:tc>
      </w:tr>
    </w:tbl>
    <w:p>
      <w:pPr>
        <w:spacing w:after="20"/>
      </w:pPr>
    </w:p>
    <w:tbl>
      <w:tblPr>
        <w:tblW w:type="auto" w:w="0"/>
        <w:jc w:val="center"/>
        <w:tblLayout w:type="fixed"/>
        <w:tblLook w:firstColumn="1" w:firstRow="1" w:lastColumn="0" w:lastRow="0" w:noHBand="0" w:noVBand="1" w:val="04A0"/>
      </w:tblPr>
      <w:tblGrid>
        <w:gridCol w:w="10512"/>
      </w:tblGrid>
      <w:tr>
        <w:tc>
          <w:tcPr>
            <w:tcW w:type="dxa" w:w="10512"/>
            <w:shd w:fill="0B2239"/>
            <w:tcMar>
              <w:top w:w="120" w:type="dxa"/>
              <w:start w:w="160" w:type="dxa"/>
              <w:bottom w:w="120" w:type="dxa"/>
              <w:end w:w="160" w:type="dxa"/>
            </w:tcMar>
          </w:tcPr>
          <w:p>
            <w:pPr>
              <w:jc w:val="left"/>
            </w:pPr>
            <w:r>
              <w:rPr>
                <w:rFonts w:ascii="Arial" w:hAnsi="Arial"/>
                <w:b/>
                <w:color w:val="FFFFFF"/>
                <w:sz w:val="30"/>
              </w:rPr>
              <w:t>DECISION SCORECARD &amp; RECOMMENDATION</w:t>
            </w:r>
          </w:p>
          <w:p>
            <w:pPr>
              <w:spacing w:before="60"/>
            </w:pPr>
            <w:r>
              <w:rPr>
                <w:rFonts w:ascii="Arial" w:hAnsi="Arial"/>
                <w:color w:val="F7F1E7"/>
                <w:sz w:val="19"/>
              </w:rPr>
              <w:t>Convert the review into a documented decision that can survive a budget meeting, audit, renewal discussion, or future handoff.</w:t>
            </w:r>
          </w:p>
        </w:tc>
      </w:tr>
    </w:tbl>
    <w:p>
      <w:pPr>
        <w:spacing w:after="0"/>
      </w:pPr>
    </w:p>
    <w:p>
      <w:pPr>
        <w:spacing w:before="120" w:after="80"/>
        <w:keepNext/>
      </w:pPr>
      <w:r>
        <w:rPr>
          <w:rFonts w:ascii="Arial" w:hAnsi="Arial"/>
          <w:b/>
          <w:color w:val="F47A1F"/>
          <w:sz w:val="18"/>
        </w:rPr>
        <w:t>SCORING GUIDE</w:t>
      </w:r>
    </w:p>
    <w:p>
      <w:r>
        <w:rPr>
          <w:rFonts w:ascii="Arial" w:hAnsi="Arial"/>
          <w:b/>
          <w:color w:val="0B2239"/>
          <w:sz w:val="18"/>
        </w:rPr>
        <w:t>1 = Poor / unacceptable   •   2 = Weak   •   3 = Adequate   •   4 = Good   •   5 = Strong / well-aligned</w:t>
      </w:r>
    </w:p>
    <w:tbl>
      <w:tblPr>
        <w:tblW w:type="auto" w:w="0"/>
        <w:jc w:val="center"/>
        <w:tblLayout w:type="fixed"/>
        <w:tblLook w:firstColumn="1" w:firstRow="1" w:lastColumn="0" w:lastRow="0" w:noHBand="0" w:noVBand="1" w:val="04A0"/>
      </w:tblPr>
      <w:tblGrid>
        <w:gridCol w:w="2102"/>
        <w:gridCol w:w="2102"/>
        <w:gridCol w:w="2102"/>
        <w:gridCol w:w="2102"/>
        <w:gridCol w:w="2102"/>
      </w:tblGrid>
      <w:tr>
        <w:trPr>
          <w:tblHeader w:val="true"/>
        </w:trPr>
        <w:tc>
          <w:tcPr>
            <w:tcW w:type="dxa" w:w="3744"/>
            <w:shd w:fill="123A5A"/>
            <w:tcMar>
              <w:top w:w="80" w:type="dxa"/>
              <w:start w:w="70" w:type="dxa"/>
              <w:bottom w:w="80" w:type="dxa"/>
              <w:end w:w="70" w:type="dxa"/>
            </w:tcMar>
          </w:tcPr>
          <w:p>
            <w:pPr>
              <w:jc w:val="left"/>
            </w:pPr>
            <w:r>
              <w:rPr>
                <w:rFonts w:ascii="Arial" w:hAnsi="Arial"/>
                <w:b/>
                <w:color w:val="FFFFFF"/>
                <w:sz w:val="17"/>
              </w:rPr>
              <w:t>Area</w:t>
            </w:r>
          </w:p>
        </w:tc>
        <w:tc>
          <w:tcPr>
            <w:tcW w:type="dxa" w:w="1080"/>
            <w:shd w:fill="123A5A"/>
            <w:tcMar>
              <w:top w:w="80" w:type="dxa"/>
              <w:start w:w="70" w:type="dxa"/>
              <w:bottom w:w="80" w:type="dxa"/>
              <w:end w:w="70" w:type="dxa"/>
            </w:tcMar>
          </w:tcPr>
          <w:p>
            <w:pPr>
              <w:jc w:val="center"/>
            </w:pPr>
            <w:r>
              <w:rPr>
                <w:rFonts w:ascii="Arial" w:hAnsi="Arial"/>
                <w:b/>
                <w:color w:val="FFFFFF"/>
                <w:sz w:val="17"/>
              </w:rPr>
              <w:t>Weight</w:t>
            </w:r>
          </w:p>
        </w:tc>
        <w:tc>
          <w:tcPr>
            <w:tcW w:type="dxa" w:w="1296"/>
            <w:shd w:fill="123A5A"/>
            <w:tcMar>
              <w:top w:w="80" w:type="dxa"/>
              <w:start w:w="70" w:type="dxa"/>
              <w:bottom w:w="80" w:type="dxa"/>
              <w:end w:w="70" w:type="dxa"/>
            </w:tcMar>
          </w:tcPr>
          <w:p>
            <w:pPr>
              <w:jc w:val="center"/>
            </w:pPr>
            <w:r>
              <w:rPr>
                <w:rFonts w:ascii="Arial" w:hAnsi="Arial"/>
                <w:b/>
                <w:color w:val="FFFFFF"/>
                <w:sz w:val="17"/>
              </w:rPr>
              <w:t>Score (1-5)</w:t>
            </w:r>
          </w:p>
        </w:tc>
        <w:tc>
          <w:tcPr>
            <w:tcW w:type="dxa" w:w="1224"/>
            <w:shd w:fill="123A5A"/>
            <w:tcMar>
              <w:top w:w="80" w:type="dxa"/>
              <w:start w:w="70" w:type="dxa"/>
              <w:bottom w:w="80" w:type="dxa"/>
              <w:end w:w="70" w:type="dxa"/>
            </w:tcMar>
          </w:tcPr>
          <w:p>
            <w:pPr>
              <w:jc w:val="center"/>
            </w:pPr>
            <w:r>
              <w:rPr>
                <w:rFonts w:ascii="Arial" w:hAnsi="Arial"/>
                <w:b/>
                <w:color w:val="FFFFFF"/>
                <w:sz w:val="17"/>
              </w:rPr>
              <w:t>Weighted</w:t>
            </w:r>
          </w:p>
        </w:tc>
        <w:tc>
          <w:tcPr>
            <w:tcW w:type="dxa" w:w="2880"/>
            <w:shd w:fill="123A5A"/>
            <w:tcMar>
              <w:top w:w="80" w:type="dxa"/>
              <w:start w:w="70" w:type="dxa"/>
              <w:bottom w:w="80" w:type="dxa"/>
              <w:end w:w="70" w:type="dxa"/>
            </w:tcMar>
          </w:tcPr>
          <w:p>
            <w:pPr>
              <w:jc w:val="left"/>
            </w:pPr>
            <w:r>
              <w:rPr>
                <w:rFonts w:ascii="Arial" w:hAnsi="Arial"/>
                <w:b/>
                <w:color w:val="FFFFFF"/>
                <w:sz w:val="17"/>
              </w:rPr>
              <w:t>Notes</w:t>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Business / Strategic Fit</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15%</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Usage / Adoption</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10%</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Cost / TCO</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15%</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Licensing Efficiency</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10%</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Service / Vendor Performance</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10%</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Security / Compliance / Data</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15%</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Technical / Operational Fit</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10%</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Commercial / Contract Terms</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10%</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r>
        <w:trPr>
          <w:cantSplit/>
        </w:trPr>
        <w:tc>
          <w:tcPr>
            <w:tcW w:type="dxa" w:w="3744"/>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1E2A36"/>
                <w:sz w:val="17"/>
              </w:rPr>
              <w:t>Exit / Portability / Lock-in</w:t>
            </w:r>
          </w:p>
        </w:tc>
        <w:tc>
          <w:tcPr>
            <w:tcW w:type="dxa" w:w="1080"/>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1E2A36"/>
                <w:sz w:val="17"/>
              </w:rPr>
              <w:t>5%</w:t>
            </w:r>
          </w:p>
        </w:tc>
        <w:tc>
          <w:tcPr>
            <w:tcW w:type="dxa" w:w="1296"/>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1224"/>
            <w:tcMar>
              <w:top w:w="75" w:type="dxa"/>
              <w:start w:w="70" w:type="dxa"/>
              <w:bottom w:w="75" w:type="dxa"/>
              <w:end w:w="70" w:type="dxa"/>
            </w:tcMar>
            <w:tcBorders>
              <w:top w:val="single" w:sz="4" w:color="CBD5E0"/>
              <w:left w:val="single" w:sz="4" w:color="CBD5E0"/>
              <w:bottom w:val="single" w:sz="4" w:color="CBD5E0"/>
              <w:right w:val="single" w:sz="4" w:color="CBD5E0"/>
            </w:tcBorders>
          </w:tcPr>
          <w:p>
            <w:pPr>
              <w:jc w:val="center"/>
            </w:pPr>
            <w:r>
              <w:rPr>
                <w:rFonts w:ascii="Arial" w:hAnsi="Arial"/>
                <w:color w:val="718096"/>
                <w:sz w:val="17"/>
              </w:rPr>
            </w:r>
          </w:p>
        </w:tc>
        <w:tc>
          <w:tcPr>
            <w:tcW w:type="dxa" w:w="2880"/>
            <w:tcMar>
              <w:top w:w="75" w:type="dxa"/>
              <w:start w:w="70" w:type="dxa"/>
              <w:bottom w:w="75" w:type="dxa"/>
              <w:end w:w="70" w:type="dxa"/>
            </w:tcMar>
            <w:tcBorders>
              <w:top w:val="single" w:sz="4" w:color="CBD5E0"/>
              <w:left w:val="single" w:sz="4" w:color="CBD5E0"/>
              <w:bottom w:val="single" w:sz="4" w:color="CBD5E0"/>
              <w:right w:val="single" w:sz="4" w:color="CBD5E0"/>
            </w:tcBorders>
          </w:tcPr>
          <w:p>
            <w:r>
              <w:rPr>
                <w:rFonts w:ascii="Arial" w:hAnsi="Arial"/>
                <w:color w:val="718096"/>
                <w:sz w:val="17"/>
              </w:rPr>
            </w:r>
          </w:p>
        </w:tc>
      </w:tr>
    </w:tbl>
    <w:p>
      <w:pPr>
        <w:spacing w:before="120" w:after="80"/>
        <w:keepNext/>
      </w:pPr>
      <w:r>
        <w:rPr>
          <w:rFonts w:ascii="Arial" w:hAnsi="Arial"/>
          <w:b/>
          <w:color w:val="F47A1F"/>
          <w:sz w:val="18"/>
        </w:rPr>
        <w:t>OVERALL RECOMMENDATION</w:t>
      </w:r>
    </w:p>
    <w:tbl>
      <w:tblPr>
        <w:tblW w:type="auto" w:w="0"/>
        <w:jc w:val="center"/>
        <w:tblLayout w:type="fixed"/>
        <w:tblLook w:firstColumn="1" w:firstRow="1" w:lastColumn="0" w:lastRow="0" w:noHBand="0" w:noVBand="1" w:val="04A0"/>
      </w:tblPr>
      <w:tblGrid>
        <w:gridCol w:w="5256"/>
        <w:gridCol w:w="5256"/>
      </w:tblGrid>
      <w:tr>
        <w:tc>
          <w:tcPr>
            <w:tcW w:type="dxa" w:w="3168"/>
            <w:shd w:fill="123A5A"/>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b/>
                <w:color w:val="FFFFFF"/>
                <w:sz w:val="17"/>
              </w:rPr>
              <w:t>[ ] RENEW AS-IS</w:t>
            </w:r>
          </w:p>
        </w:tc>
        <w:tc>
          <w:tcPr>
            <w:tcW w:type="dxa" w:w="6912"/>
            <w:shd w:fill="FFFFFF"/>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color w:val="1E2A36"/>
                <w:sz w:val="17"/>
              </w:rPr>
              <w:t>Service remains well-aligned and commercially reasonable.</w:t>
            </w:r>
          </w:p>
        </w:tc>
      </w:tr>
      <w:tr>
        <w:tc>
          <w:tcPr>
            <w:tcW w:type="dxa" w:w="3168"/>
            <w:shd w:fill="123A5A"/>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b/>
                <w:color w:val="FFFFFF"/>
                <w:sz w:val="17"/>
              </w:rPr>
              <w:t>[ ] RENEW WITH CHANGES</w:t>
            </w:r>
          </w:p>
        </w:tc>
        <w:tc>
          <w:tcPr>
            <w:tcW w:type="dxa" w:w="6912"/>
            <w:shd w:fill="FFFFFF"/>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color w:val="1E2A36"/>
                <w:sz w:val="17"/>
              </w:rPr>
              <w:t>Renew, but change quantity, tier, terms, ownership, controls, or pricing.</w:t>
            </w:r>
          </w:p>
        </w:tc>
      </w:tr>
      <w:tr>
        <w:tc>
          <w:tcPr>
            <w:tcW w:type="dxa" w:w="3168"/>
            <w:shd w:fill="123A5A"/>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b/>
                <w:color w:val="FFFFFF"/>
                <w:sz w:val="17"/>
              </w:rPr>
              <w:t>[ ] COMPETE / RENEGOTIATE</w:t>
            </w:r>
          </w:p>
        </w:tc>
        <w:tc>
          <w:tcPr>
            <w:tcW w:type="dxa" w:w="6912"/>
            <w:shd w:fill="FFFFFF"/>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color w:val="1E2A36"/>
                <w:sz w:val="17"/>
              </w:rPr>
              <w:t>Keep the capability, but obtain competing options or materially renegotiate.</w:t>
            </w:r>
          </w:p>
        </w:tc>
      </w:tr>
      <w:tr>
        <w:tc>
          <w:tcPr>
            <w:tcW w:type="dxa" w:w="3168"/>
            <w:shd w:fill="123A5A"/>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b/>
                <w:color w:val="FFFFFF"/>
                <w:sz w:val="17"/>
              </w:rPr>
              <w:t>[ ] CONSOLIDATE / RETIRE</w:t>
            </w:r>
          </w:p>
        </w:tc>
        <w:tc>
          <w:tcPr>
            <w:tcW w:type="dxa" w:w="6912"/>
            <w:shd w:fill="FFFFFF"/>
            <w:tcMar>
              <w:top w:w="80" w:type="dxa"/>
              <w:start w:w="90" w:type="dxa"/>
              <w:bottom w:w="80" w:type="dxa"/>
              <w:end w:w="90" w:type="dxa"/>
            </w:tcMar>
            <w:tcBorders>
              <w:top w:val="single" w:sz="4" w:color="CBD5E0"/>
              <w:left w:val="single" w:sz="4" w:color="CBD5E0"/>
              <w:bottom w:val="single" w:sz="4" w:color="CBD5E0"/>
              <w:right w:val="single" w:sz="4" w:color="CBD5E0"/>
            </w:tcBorders>
          </w:tcPr>
          <w:p>
            <w:r>
              <w:rPr>
                <w:rFonts w:ascii="Arial" w:hAnsi="Arial"/>
                <w:color w:val="1E2A36"/>
                <w:sz w:val="17"/>
              </w:rPr>
              <w:t>Replace, consolidate, or discontinue the service with a controlled transition plan.</w:t>
            </w:r>
          </w:p>
        </w:tc>
      </w:tr>
    </w:tbl>
    <w:p>
      <w:pPr>
        <w:spacing w:before="120" w:after="80"/>
        <w:keepNext/>
      </w:pPr>
      <w:r>
        <w:rPr>
          <w:rFonts w:ascii="Arial" w:hAnsi="Arial"/>
          <w:b/>
          <w:color w:val="F47A1F"/>
          <w:sz w:val="18"/>
        </w:rPr>
        <w:t>DECISION SUMMARY</w:t>
      </w:r>
    </w:p>
    <w:p>
      <w:pPr>
        <w:spacing w:after="140"/>
      </w:pPr>
      <w:r>
        <w:rPr>
          <w:rFonts w:ascii="Arial" w:hAnsi="Arial"/>
          <w:b/>
          <w:color w:val="0B2239"/>
          <w:sz w:val="17"/>
        </w:rPr>
        <w:t xml:space="preserve">Recommended decision and rationale: </w:t>
      </w:r>
      <w:r>
        <w:rPr>
          <w:rFonts w:ascii="Arial" w:hAnsi="Arial"/>
          <w:color w:val="718096"/>
          <w:sz w:val="17"/>
        </w:rPr>
        <w:t>________________________________________________________________________________</w:t>
      </w:r>
    </w:p>
    <w:p>
      <w:pPr>
        <w:spacing w:after="140"/>
      </w:pPr>
      <w:r>
        <w:rPr>
          <w:rFonts w:ascii="Arial" w:hAnsi="Arial"/>
          <w:b/>
          <w:color w:val="0B2239"/>
          <w:sz w:val="17"/>
        </w:rPr>
        <w:t xml:space="preserve">Savings / cost impact: </w:t>
      </w:r>
      <w:r>
        <w:rPr>
          <w:rFonts w:ascii="Arial" w:hAnsi="Arial"/>
          <w:color w:val="718096"/>
          <w:sz w:val="17"/>
        </w:rPr>
        <w:t>________________________________________________________________________________</w:t>
      </w:r>
    </w:p>
    <w:p>
      <w:pPr>
        <w:spacing w:after="140"/>
      </w:pPr>
      <w:r>
        <w:rPr>
          <w:rFonts w:ascii="Arial" w:hAnsi="Arial"/>
          <w:b/>
          <w:color w:val="0B2239"/>
          <w:sz w:val="17"/>
        </w:rPr>
        <w:t xml:space="preserve">Operational or security impact: </w:t>
      </w:r>
      <w:r>
        <w:rPr>
          <w:rFonts w:ascii="Arial" w:hAnsi="Arial"/>
          <w:color w:val="718096"/>
          <w:sz w:val="17"/>
        </w:rPr>
        <w:t>________________________________________________________________________________</w:t>
      </w:r>
    </w:p>
    <w:p>
      <w:pPr>
        <w:spacing w:after="140"/>
      </w:pPr>
      <w:r>
        <w:rPr>
          <w:rFonts w:ascii="Arial" w:hAnsi="Arial"/>
          <w:b/>
          <w:color w:val="0B2239"/>
          <w:sz w:val="17"/>
        </w:rPr>
        <w:t xml:space="preserve">Required negotiation points: </w:t>
      </w:r>
      <w:r>
        <w:rPr>
          <w:rFonts w:ascii="Arial" w:hAnsi="Arial"/>
          <w:color w:val="718096"/>
          <w:sz w:val="17"/>
        </w:rPr>
        <w:t>________________________________________________________________________________</w:t>
      </w:r>
    </w:p>
    <w:p>
      <w:pPr>
        <w:spacing w:after="140"/>
      </w:pPr>
      <w:r>
        <w:rPr>
          <w:rFonts w:ascii="Arial" w:hAnsi="Arial"/>
          <w:b/>
          <w:color w:val="0B2239"/>
          <w:sz w:val="17"/>
        </w:rPr>
        <w:t xml:space="preserve">Required transition / implementation actions: </w:t>
      </w:r>
      <w:r>
        <w:rPr>
          <w:rFonts w:ascii="Arial" w:hAnsi="Arial"/>
          <w:color w:val="718096"/>
          <w:sz w:val="17"/>
        </w:rPr>
        <w:t>________________________________________________________________________________</w:t>
      </w:r>
    </w:p>
    <w:p>
      <w:pPr>
        <w:spacing w:after="140"/>
      </w:pPr>
      <w:r>
        <w:rPr>
          <w:rFonts w:ascii="Arial" w:hAnsi="Arial"/>
          <w:b/>
          <w:color w:val="0B2239"/>
          <w:sz w:val="17"/>
        </w:rPr>
        <w:t xml:space="preserve">Decision owner / approver: </w:t>
      </w:r>
      <w:r>
        <w:rPr>
          <w:rFonts w:ascii="Arial" w:hAnsi="Arial"/>
          <w:color w:val="718096"/>
          <w:sz w:val="17"/>
        </w:rPr>
        <w:t>________________________________________________________________________________</w:t>
      </w:r>
    </w:p>
    <w:p>
      <w:pPr>
        <w:spacing w:after="140"/>
      </w:pPr>
      <w:r>
        <w:rPr>
          <w:rFonts w:ascii="Arial" w:hAnsi="Arial"/>
          <w:b/>
          <w:color w:val="0B2239"/>
          <w:sz w:val="17"/>
        </w:rPr>
        <w:t xml:space="preserve">Target decision date: </w:t>
      </w:r>
      <w:r>
        <w:rPr>
          <w:rFonts w:ascii="Arial" w:hAnsi="Arial"/>
          <w:color w:val="718096"/>
          <w:sz w:val="17"/>
        </w:rPr>
        <w:t>________________________________________________________________________________</w:t>
      </w:r>
    </w:p>
    <w:tbl>
      <w:tblPr>
        <w:tblW w:type="auto" w:w="0"/>
        <w:jc w:val="center"/>
        <w:tblLayout w:type="fixed"/>
        <w:tblLook w:firstColumn="1" w:firstRow="1" w:lastColumn="0" w:lastRow="0" w:noHBand="0" w:noVBand="1" w:val="04A0"/>
      </w:tblPr>
      <w:tblGrid>
        <w:gridCol w:w="144"/>
        <w:gridCol w:w="9720"/>
      </w:tblGrid>
      <w:tr>
        <w:trPr>
          <w:cantSplit/>
        </w:trPr>
        <w:tc>
          <w:tcPr>
            <w:tcW w:type="dxa" w:w="5256"/>
            <w:shd w:fill="F47A1F"/>
          </w:tcPr>
          <w:p/>
        </w:tc>
        <w:tc>
          <w:tcPr>
            <w:tcW w:type="dxa" w:w="5256"/>
            <w:shd w:fill="0B2239"/>
            <w:tcMar>
              <w:top w:w="110" w:type="dxa"/>
              <w:start w:w="150" w:type="dxa"/>
              <w:bottom w:w="110" w:type="dxa"/>
              <w:end w:w="150" w:type="dxa"/>
            </w:tcMar>
          </w:tcPr>
          <w:p>
            <w:r>
              <w:rPr>
                <w:rFonts w:ascii="Arial" w:hAnsi="Arial"/>
                <w:b/>
                <w:color w:val="FFFFFF"/>
                <w:sz w:val="21"/>
              </w:rPr>
              <w:t>FINAL #GOODWINGETSIT TEST</w:t>
            </w:r>
          </w:p>
          <w:p>
            <w:pPr>
              <w:spacing w:before="40"/>
            </w:pPr>
            <w:r>
              <w:rPr>
                <w:rFonts w:ascii="Arial" w:hAnsi="Arial"/>
                <w:color w:val="F7F1E7"/>
                <w:sz w:val="19"/>
              </w:rPr>
              <w:t>Before signing or renewing, be able to explain what you are paying for, who is using it, what risk it reduces, what capability it provides, what happens if you remove it, and why this is still the right way to solve the problem.</w:t>
            </w:r>
          </w:p>
        </w:tc>
      </w:tr>
    </w:tbl>
    <w:p>
      <w:pPr>
        <w:spacing w:after="20"/>
      </w:pPr>
    </w:p>
    <w:sectPr w:rsidR="00FC693F" w:rsidRPr="0006063C" w:rsidSect="00034616">
      <w:headerReference w:type="default" r:id="rId9"/>
      <w:footerReference w:type="default" r:id="rId10"/>
      <w:pgSz w:w="12240" w:h="15840"/>
      <w:pgMar w:top="792" w:right="864" w:bottom="792" w:left="864" w:header="360" w:footer="360" w:gutter="0"/>
      <w:cols w:space="720"/>
      <w:docGrid w:linePitch="360"/>
      <w:pgBorders w:offsetFrom="page">
        <w:top w:val="single" w:sz="14" w:space="20" w:color="0B2239"/>
        <w:left w:val="single" w:sz="14" w:space="20" w:color="0B2239"/>
        <w:bottom w:val="single" w:sz="14" w:space="20" w:color="0B2239"/>
        <w:right w:val="single" w:sz="14" w:space="20" w:color="0B2239"/>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3480"/>
      <w:gridCol w:w="3480"/>
      <w:gridCol w:w="3480"/>
    </w:tblGrid>
    <w:tr>
      <w:tc>
        <w:tcPr>
          <w:tcW w:type="dxa" w:w="3480"/>
          <w:tcMar>
            <w:top w:w="20" w:type="dxa"/>
            <w:start w:w="0" w:type="dxa"/>
            <w:bottom w:w="20" w:type="dxa"/>
            <w:end w:w="0" w:type="dxa"/>
          </w:tcMar>
          <w:tcBorders>
            <w:top w:val="single" w:sz="6" w:color="CBD5E0"/>
          </w:tcBorders>
        </w:tcPr>
        <w:p>
          <w:r>
            <w:rPr>
              <w:rFonts w:ascii="Arial" w:hAnsi="Arial"/>
              <w:b/>
              <w:color w:val="F47A1F"/>
              <w:sz w:val="16"/>
            </w:rPr>
            <w:t>#GoodwinGetsIT</w:t>
          </w:r>
        </w:p>
      </w:tc>
      <w:tc>
        <w:tcPr>
          <w:tcW w:type="dxa" w:w="3480"/>
          <w:tcMar>
            <w:top w:w="20" w:type="dxa"/>
            <w:start w:w="0" w:type="dxa"/>
            <w:bottom w:w="20" w:type="dxa"/>
            <w:end w:w="0" w:type="dxa"/>
          </w:tcMar>
          <w:tcBorders>
            <w:top w:val="single" w:sz="6" w:color="CBD5E0"/>
          </w:tcBorders>
        </w:tcPr>
        <w:p>
          <w:pPr>
            <w:jc w:val="center"/>
          </w:pPr>
          <w:r>
            <w:rPr>
              <w:rFonts w:ascii="Arial" w:hAnsi="Arial"/>
              <w:color w:val="718096"/>
              <w:sz w:val="15"/>
            </w:rPr>
            <w:t>Spend smarter. Reduce waste. Preserve capability.</w:t>
          </w:r>
        </w:p>
      </w:tc>
      <w:tc>
        <w:tcPr>
          <w:tcW w:type="dxa" w:w="3480"/>
          <w:tcMar>
            <w:top w:w="20" w:type="dxa"/>
            <w:start w:w="0" w:type="dxa"/>
            <w:bottom w:w="20" w:type="dxa"/>
            <w:end w:w="0" w:type="dxa"/>
          </w:tcMar>
          <w:tcBorders>
            <w:top w:val="single" w:sz="6" w:color="CBD5E0"/>
          </w:tcBorders>
        </w:tcPr>
        <w:p>
          <w:pPr>
            <w:jc w:val="right"/>
          </w:pPr>
          <w:r>
            <w:rPr>
              <w:rFonts w:ascii="Arial" w:hAnsi="Arial"/>
              <w:color w:val="718096"/>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220"/>
      <w:gridCol w:w="5220"/>
    </w:tblGrid>
    <w:tr>
      <w:tc>
        <w:tcPr>
          <w:tcW w:type="dxa" w:w="6912"/>
          <w:tcMar>
            <w:top w:w="20" w:type="dxa"/>
            <w:start w:w="0" w:type="dxa"/>
            <w:bottom w:w="20" w:type="dxa"/>
            <w:end w:w="0" w:type="dxa"/>
          </w:tcMar>
          <w:tcBorders>
            <w:bottom w:val="single" w:sz="8" w:color="F47A1F"/>
          </w:tcBorders>
        </w:tcPr>
        <w:p>
          <w:r>
            <w:rPr>
              <w:rFonts w:ascii="Arial" w:hAnsi="Arial"/>
              <w:b/>
              <w:color w:val="0B2239"/>
              <w:sz w:val="18"/>
            </w:rPr>
            <w:t>&gt;_  Goodwin Gets IT</w:t>
          </w:r>
        </w:p>
      </w:tc>
      <w:tc>
        <w:tcPr>
          <w:tcW w:type="dxa" w:w="3528"/>
          <w:tcMar>
            <w:top w:w="20" w:type="dxa"/>
            <w:start w:w="0" w:type="dxa"/>
            <w:bottom w:w="20" w:type="dxa"/>
            <w:end w:w="0" w:type="dxa"/>
          </w:tcMar>
          <w:tcBorders>
            <w:bottom w:val="single" w:sz="8" w:color="F47A1F"/>
          </w:tcBorders>
        </w:tcPr>
        <w:p>
          <w:pPr>
            <w:jc w:val="right"/>
          </w:pPr>
          <w:r>
            <w:rPr>
              <w:rFonts w:ascii="Arial" w:hAnsi="Arial"/>
              <w:b/>
              <w:color w:val="F47A1F"/>
              <w:sz w:val="16"/>
            </w:rPr>
            <w:t>RESOURCE CHECKLIST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1E2A3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Contract, Service &amp; License Evaluation Checklist</dc:title>
  <dc:subject>#GoodwinGetsIT Day 10 Resource - IT Cost Optimization</dc:subject>
  <dc:creator>Goodwin Gets IT</dc:creator>
  <cp:keywords>IT contracts, SaaS, licensing, vendor management, cost optimization, IT procurement, renewals, MSP, GoodwinGetsIT</cp:keywords>
  <dc:description>A practical technology contract and recurring service evaluation checklist.</dc:description>
  <cp:lastModifiedBy/>
  <cp:revision>1</cp:revision>
  <dcterms:created xsi:type="dcterms:W3CDTF">2013-12-23T23:15:00Z</dcterms:created>
  <dcterms:modified xsi:type="dcterms:W3CDTF">2013-12-23T23:15:00Z</dcterms:modified>
  <cp:category/>
</cp:coreProperties>
</file>